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E44" w:rsidRPr="009E3E44" w:rsidRDefault="0000576F" w:rsidP="009E3E44">
      <w:pPr>
        <w:spacing w:after="0" w:line="340" w:lineRule="atLeast"/>
        <w:jc w:val="center"/>
        <w:rPr>
          <w:rFonts w:ascii="Arial" w:eastAsia="Times New Roman" w:hAnsi="Arial" w:cs="Arial"/>
          <w:b/>
          <w:sz w:val="28"/>
          <w:szCs w:val="28"/>
          <w:u w:val="single"/>
          <w:lang w:val="en-GB"/>
        </w:rPr>
      </w:pPr>
      <w:bookmarkStart w:id="0" w:name="_Toc532655520"/>
      <w:bookmarkStart w:id="1" w:name="_Toc532655692"/>
      <w:bookmarkStart w:id="2" w:name="_Toc532655849"/>
      <w:bookmarkStart w:id="3" w:name="_Toc532655891"/>
      <w:bookmarkStart w:id="4" w:name="_Toc25944227"/>
      <w:r w:rsidRPr="009E3E44">
        <w:rPr>
          <w:rFonts w:ascii="Arial" w:eastAsia="Times New Roman" w:hAnsi="Arial" w:cs="Arial"/>
          <w:b/>
          <w:sz w:val="28"/>
          <w:szCs w:val="28"/>
          <w:u w:val="single"/>
          <w:lang w:val="en-GB"/>
        </w:rPr>
        <w:t>Annexure II</w:t>
      </w:r>
    </w:p>
    <w:p w:rsidR="009E3E44" w:rsidRPr="009E3E44" w:rsidRDefault="009E3E44" w:rsidP="009E3E44">
      <w:pPr>
        <w:spacing w:after="0" w:line="340" w:lineRule="atLeast"/>
        <w:jc w:val="center"/>
        <w:rPr>
          <w:rFonts w:ascii="Arial" w:eastAsia="Times New Roman" w:hAnsi="Arial" w:cs="Arial"/>
          <w:sz w:val="24"/>
          <w:szCs w:val="24"/>
          <w:lang w:val="en-GB"/>
        </w:rPr>
      </w:pPr>
    </w:p>
    <w:p w:rsidR="0000576F" w:rsidRPr="009E3E44" w:rsidRDefault="0000576F" w:rsidP="009E3E44">
      <w:pPr>
        <w:spacing w:after="0" w:line="340" w:lineRule="atLeast"/>
        <w:jc w:val="center"/>
        <w:rPr>
          <w:rFonts w:ascii="Arial" w:eastAsia="Times New Roman" w:hAnsi="Arial" w:cs="Arial"/>
          <w:b/>
          <w:sz w:val="24"/>
          <w:szCs w:val="24"/>
          <w:lang w:val="en-GB"/>
        </w:rPr>
      </w:pPr>
      <w:r w:rsidRPr="009E3E44">
        <w:rPr>
          <w:rFonts w:ascii="Arial" w:eastAsia="Times New Roman" w:hAnsi="Arial" w:cs="Arial"/>
          <w:b/>
          <w:sz w:val="24"/>
          <w:szCs w:val="24"/>
          <w:lang w:val="en-GB"/>
        </w:rPr>
        <w:t>3rd control period Distribution true up</w:t>
      </w:r>
    </w:p>
    <w:p w:rsidR="0000576F" w:rsidRPr="009E3E44" w:rsidRDefault="0000576F" w:rsidP="00B70F88">
      <w:pPr>
        <w:rPr>
          <w:rFonts w:ascii="Arial" w:eastAsia="Times New Roman" w:hAnsi="Arial" w:cs="Arial"/>
          <w:sz w:val="24"/>
          <w:szCs w:val="24"/>
          <w:lang w:val="en-GB"/>
        </w:rPr>
      </w:pPr>
    </w:p>
    <w:p w:rsidR="00B70F88" w:rsidRPr="00A64B9D" w:rsidRDefault="00B70F88" w:rsidP="00B70F88">
      <w:pPr>
        <w:pStyle w:val="Heading2"/>
        <w:rPr>
          <w:rFonts w:cs="Arial"/>
          <w:sz w:val="24"/>
          <w:szCs w:val="24"/>
        </w:rPr>
      </w:pPr>
      <w:r w:rsidRPr="00A64B9D">
        <w:rPr>
          <w:rFonts w:cs="Arial"/>
          <w:sz w:val="24"/>
          <w:szCs w:val="24"/>
        </w:rPr>
        <w:t>True-up for 3</w:t>
      </w:r>
      <w:r w:rsidRPr="00A64B9D">
        <w:rPr>
          <w:rFonts w:cs="Arial"/>
          <w:sz w:val="24"/>
          <w:szCs w:val="24"/>
          <w:vertAlign w:val="superscript"/>
        </w:rPr>
        <w:t>rd</w:t>
      </w:r>
      <w:r w:rsidRPr="00A64B9D">
        <w:rPr>
          <w:rFonts w:cs="Arial"/>
          <w:sz w:val="24"/>
          <w:szCs w:val="24"/>
        </w:rPr>
        <w:t xml:space="preserve"> Control Period of Distribution Business</w:t>
      </w:r>
      <w:bookmarkEnd w:id="0"/>
      <w:bookmarkEnd w:id="1"/>
      <w:bookmarkEnd w:id="2"/>
      <w:bookmarkEnd w:id="3"/>
      <w:bookmarkEnd w:id="4"/>
    </w:p>
    <w:p w:rsidR="00B70F88" w:rsidRPr="00A64B9D" w:rsidRDefault="00B70F88" w:rsidP="00B70F88">
      <w:pPr>
        <w:pStyle w:val="NoSpacing"/>
        <w:rPr>
          <w:rFonts w:ascii="Arial" w:hAnsi="Arial" w:cs="Arial"/>
          <w:sz w:val="24"/>
          <w:szCs w:val="24"/>
        </w:rPr>
      </w:pPr>
    </w:p>
    <w:p w:rsidR="00B70F88" w:rsidRPr="00A64B9D" w:rsidRDefault="00B70F88" w:rsidP="00B70F88">
      <w:pPr>
        <w:pStyle w:val="ListParagraph"/>
        <w:spacing w:line="360" w:lineRule="auto"/>
        <w:ind w:left="432" w:firstLine="288"/>
        <w:jc w:val="both"/>
        <w:rPr>
          <w:rFonts w:ascii="Arial" w:hAnsi="Arial" w:cs="Arial"/>
          <w:sz w:val="24"/>
          <w:szCs w:val="24"/>
        </w:rPr>
      </w:pPr>
      <w:r w:rsidRPr="00A64B9D">
        <w:rPr>
          <w:rFonts w:ascii="Arial" w:hAnsi="Arial" w:cs="Arial"/>
          <w:b/>
          <w:sz w:val="24"/>
          <w:szCs w:val="24"/>
        </w:rPr>
        <w:t xml:space="preserve">As per Clause 19, Pg 11 of the ‘Andhra Pradesh Electricity Regulatory Commission </w:t>
      </w:r>
      <w:r w:rsidRPr="00A64B9D">
        <w:rPr>
          <w:rFonts w:ascii="Arial" w:hAnsi="Arial" w:cs="Arial"/>
          <w:sz w:val="24"/>
          <w:szCs w:val="24"/>
        </w:rPr>
        <w:t>(Terms and Conditions for Determination Of Tariff For Wheeling and Retail Sale of Electricity)’ Regulation No. 4 of 2005 as adopted by TSERC Reg. No. 1 of 2014, the licensee has to file for corrections for “uncontrollable” and “controllable” items and as well as sharing of gains/losses for the Third control period (FY 2014-15 to FY 2018-19).</w:t>
      </w:r>
    </w:p>
    <w:p w:rsidR="00B70F88" w:rsidRPr="00A64B9D" w:rsidRDefault="00B70F88" w:rsidP="00B70F88">
      <w:pPr>
        <w:pStyle w:val="ListParagraph"/>
        <w:spacing w:line="360" w:lineRule="auto"/>
        <w:ind w:left="432"/>
        <w:jc w:val="both"/>
        <w:rPr>
          <w:rFonts w:ascii="Arial" w:hAnsi="Arial" w:cs="Arial"/>
          <w:sz w:val="24"/>
          <w:szCs w:val="24"/>
        </w:rPr>
      </w:pPr>
      <w:r w:rsidRPr="00A64B9D">
        <w:rPr>
          <w:rFonts w:ascii="Arial" w:hAnsi="Arial" w:cs="Arial"/>
          <w:sz w:val="24"/>
          <w:szCs w:val="24"/>
        </w:rPr>
        <w:t>This filing has been prepared as per the provisions of the above mentioned Regulation. The Licensee is submitting the following as part of the Correction filings for the Third Control Period (FY 2014-15 to FY 2018-19)</w:t>
      </w:r>
    </w:p>
    <w:p w:rsidR="00B70F88" w:rsidRPr="00A64B9D" w:rsidRDefault="00B70F88" w:rsidP="00B70F88">
      <w:pPr>
        <w:pStyle w:val="ListParagraph"/>
        <w:numPr>
          <w:ilvl w:val="0"/>
          <w:numId w:val="1"/>
        </w:numPr>
        <w:spacing w:after="200" w:line="360" w:lineRule="auto"/>
        <w:ind w:left="1440" w:hanging="288"/>
        <w:jc w:val="both"/>
        <w:rPr>
          <w:rFonts w:ascii="Arial" w:hAnsi="Arial" w:cs="Arial"/>
          <w:sz w:val="24"/>
          <w:szCs w:val="24"/>
        </w:rPr>
      </w:pPr>
      <w:r w:rsidRPr="00A64B9D">
        <w:rPr>
          <w:rFonts w:ascii="Arial" w:hAnsi="Arial" w:cs="Arial"/>
          <w:sz w:val="24"/>
          <w:szCs w:val="24"/>
        </w:rPr>
        <w:t>Allocation statement to segregate expenses and income of Controllable and Uncontrollable items under Distribution Business</w:t>
      </w:r>
    </w:p>
    <w:p w:rsidR="00B70F88" w:rsidRPr="00A64B9D" w:rsidRDefault="00B70F88" w:rsidP="00B70F88">
      <w:pPr>
        <w:pStyle w:val="ListParagraph"/>
        <w:numPr>
          <w:ilvl w:val="0"/>
          <w:numId w:val="1"/>
        </w:numPr>
        <w:spacing w:after="200" w:line="360" w:lineRule="auto"/>
        <w:ind w:left="1440" w:hanging="288"/>
        <w:jc w:val="both"/>
        <w:rPr>
          <w:rFonts w:ascii="Arial" w:hAnsi="Arial" w:cs="Arial"/>
          <w:sz w:val="24"/>
          <w:szCs w:val="24"/>
        </w:rPr>
      </w:pPr>
      <w:r w:rsidRPr="00A64B9D">
        <w:rPr>
          <w:rFonts w:ascii="Arial" w:hAnsi="Arial" w:cs="Arial"/>
          <w:sz w:val="24"/>
          <w:szCs w:val="24"/>
        </w:rPr>
        <w:t>Statement of Variance with Tariff Order approved figures pertain to items under Distribution Business for the Third Control Period ( FY 2014-15 to FY 2018-19 (provisional))</w:t>
      </w:r>
    </w:p>
    <w:p w:rsidR="00B70F88" w:rsidRPr="00A64B9D" w:rsidRDefault="00B70F88" w:rsidP="00B70F88">
      <w:pPr>
        <w:pStyle w:val="ListParagraph"/>
        <w:numPr>
          <w:ilvl w:val="0"/>
          <w:numId w:val="1"/>
        </w:numPr>
        <w:spacing w:after="200" w:line="360" w:lineRule="auto"/>
        <w:jc w:val="both"/>
        <w:rPr>
          <w:rFonts w:ascii="Arial" w:hAnsi="Arial" w:cs="Arial"/>
          <w:sz w:val="24"/>
          <w:szCs w:val="24"/>
        </w:rPr>
      </w:pPr>
      <w:r w:rsidRPr="00A64B9D">
        <w:rPr>
          <w:rFonts w:ascii="Arial" w:hAnsi="Arial" w:cs="Arial"/>
          <w:sz w:val="24"/>
          <w:szCs w:val="24"/>
        </w:rPr>
        <w:t>Corrections for Uncontrollable items under Distribution Business along with reasons for variation</w:t>
      </w:r>
    </w:p>
    <w:p w:rsidR="00B70F88" w:rsidRPr="00A64B9D" w:rsidRDefault="00B70F88" w:rsidP="00B70F88">
      <w:pPr>
        <w:pStyle w:val="ListParagraph"/>
        <w:numPr>
          <w:ilvl w:val="0"/>
          <w:numId w:val="1"/>
        </w:numPr>
        <w:spacing w:after="200" w:line="360" w:lineRule="auto"/>
        <w:ind w:left="1440" w:hanging="288"/>
        <w:jc w:val="both"/>
        <w:rPr>
          <w:rFonts w:ascii="Arial" w:hAnsi="Arial" w:cs="Arial"/>
          <w:sz w:val="24"/>
          <w:szCs w:val="24"/>
        </w:rPr>
      </w:pPr>
      <w:r w:rsidRPr="00A64B9D">
        <w:rPr>
          <w:rFonts w:ascii="Arial" w:hAnsi="Arial" w:cs="Arial"/>
          <w:sz w:val="24"/>
          <w:szCs w:val="24"/>
        </w:rPr>
        <w:t>Corrections for Controllable items under Distribution Business along with reasons for variation</w:t>
      </w:r>
    </w:p>
    <w:p w:rsidR="00B70F88" w:rsidRPr="00A64B9D" w:rsidRDefault="00B70F88" w:rsidP="00B70F88">
      <w:pPr>
        <w:pStyle w:val="ListParagraph"/>
        <w:spacing w:after="200" w:line="360" w:lineRule="auto"/>
        <w:jc w:val="both"/>
        <w:rPr>
          <w:rFonts w:ascii="Arial" w:hAnsi="Arial" w:cs="Arial"/>
          <w:sz w:val="24"/>
          <w:szCs w:val="24"/>
        </w:rPr>
      </w:pPr>
      <w:r w:rsidRPr="00A64B9D">
        <w:rPr>
          <w:rFonts w:ascii="Arial" w:hAnsi="Arial" w:cs="Arial"/>
          <w:sz w:val="24"/>
          <w:szCs w:val="24"/>
        </w:rPr>
        <w:t>As per the ‘Andhra Pradesh Electricity Regulatory Commission (Terms and Conditions for Determination of Tariff For Wheeling and Retail Sale of Electricity)’ Regulation No. 4 of 2005, as adopted by TSERC Reg. No. 1 of 2014 Clause 10, Pg 7 –</w:t>
      </w:r>
    </w:p>
    <w:p w:rsidR="00B70F88" w:rsidRPr="00A64B9D" w:rsidRDefault="00B70F88" w:rsidP="00B70F88">
      <w:pPr>
        <w:autoSpaceDE w:val="0"/>
        <w:autoSpaceDN w:val="0"/>
        <w:adjustRightInd w:val="0"/>
        <w:spacing w:line="360" w:lineRule="auto"/>
        <w:ind w:left="810"/>
        <w:jc w:val="both"/>
        <w:rPr>
          <w:rFonts w:ascii="Arial" w:hAnsi="Arial" w:cs="Arial"/>
          <w:i/>
          <w:sz w:val="24"/>
          <w:szCs w:val="24"/>
        </w:rPr>
      </w:pPr>
      <w:r w:rsidRPr="00A64B9D">
        <w:rPr>
          <w:rFonts w:ascii="Arial" w:hAnsi="Arial" w:cs="Arial"/>
          <w:i/>
          <w:sz w:val="24"/>
          <w:szCs w:val="24"/>
        </w:rPr>
        <w:t>“1.    ………..…………..</w:t>
      </w:r>
    </w:p>
    <w:p w:rsidR="00B70F88" w:rsidRPr="00A64B9D" w:rsidRDefault="00B70F88" w:rsidP="00B70F88">
      <w:pPr>
        <w:autoSpaceDE w:val="0"/>
        <w:autoSpaceDN w:val="0"/>
        <w:adjustRightInd w:val="0"/>
        <w:spacing w:line="360" w:lineRule="auto"/>
        <w:ind w:left="1260"/>
        <w:jc w:val="both"/>
        <w:rPr>
          <w:rFonts w:ascii="Arial" w:hAnsi="Arial" w:cs="Arial"/>
          <w:i/>
          <w:sz w:val="24"/>
          <w:szCs w:val="24"/>
        </w:rPr>
      </w:pPr>
      <w:r w:rsidRPr="00A64B9D">
        <w:rPr>
          <w:rFonts w:ascii="Arial" w:hAnsi="Arial" w:cs="Arial"/>
          <w:i/>
          <w:sz w:val="24"/>
          <w:szCs w:val="24"/>
        </w:rPr>
        <w:lastRenderedPageBreak/>
        <w:t>……..</w:t>
      </w:r>
    </w:p>
    <w:p w:rsidR="00B70F88" w:rsidRPr="00A64B9D" w:rsidRDefault="00B70F88" w:rsidP="00B70F88">
      <w:pPr>
        <w:autoSpaceDE w:val="0"/>
        <w:autoSpaceDN w:val="0"/>
        <w:adjustRightInd w:val="0"/>
        <w:spacing w:line="360" w:lineRule="auto"/>
        <w:ind w:left="1260"/>
        <w:jc w:val="both"/>
        <w:rPr>
          <w:rFonts w:ascii="Arial" w:hAnsi="Arial" w:cs="Arial"/>
          <w:i/>
          <w:sz w:val="24"/>
          <w:szCs w:val="24"/>
        </w:rPr>
      </w:pPr>
      <w:r w:rsidRPr="00A64B9D">
        <w:rPr>
          <w:rFonts w:ascii="Arial" w:hAnsi="Arial" w:cs="Arial"/>
          <w:i/>
          <w:sz w:val="24"/>
          <w:szCs w:val="24"/>
        </w:rPr>
        <w:t>…….</w:t>
      </w:r>
    </w:p>
    <w:p w:rsidR="00B70F88" w:rsidRPr="00A64B9D" w:rsidRDefault="00B70F88" w:rsidP="00B70F88">
      <w:pPr>
        <w:autoSpaceDE w:val="0"/>
        <w:autoSpaceDN w:val="0"/>
        <w:adjustRightInd w:val="0"/>
        <w:spacing w:line="360" w:lineRule="auto"/>
        <w:ind w:left="810"/>
        <w:jc w:val="both"/>
        <w:rPr>
          <w:rFonts w:ascii="Arial" w:hAnsi="Arial" w:cs="Arial"/>
          <w:i/>
          <w:sz w:val="24"/>
          <w:szCs w:val="24"/>
        </w:rPr>
      </w:pPr>
      <w:r w:rsidRPr="00A64B9D">
        <w:rPr>
          <w:rFonts w:ascii="Arial" w:hAnsi="Arial" w:cs="Arial"/>
          <w:i/>
          <w:sz w:val="24"/>
          <w:szCs w:val="24"/>
        </w:rPr>
        <w:t>4. Controllable and Uncontrollable items of ARR</w:t>
      </w:r>
      <w:r w:rsidRPr="00A64B9D">
        <w:rPr>
          <w:rFonts w:ascii="Arial" w:hAnsi="Arial" w:cs="Arial"/>
          <w:b/>
          <w:bCs/>
          <w:i/>
          <w:sz w:val="24"/>
          <w:szCs w:val="24"/>
        </w:rPr>
        <w:t xml:space="preserve">:- </w:t>
      </w:r>
      <w:r w:rsidRPr="00A64B9D">
        <w:rPr>
          <w:rFonts w:ascii="Arial" w:hAnsi="Arial" w:cs="Arial"/>
          <w:i/>
          <w:sz w:val="24"/>
          <w:szCs w:val="24"/>
        </w:rPr>
        <w:t>The expenditure of the Distribution Licensee considered as “controllable” and “uncontrollable” shall be as follows:</w:t>
      </w:r>
    </w:p>
    <w:p w:rsidR="00B70F88" w:rsidRPr="00A64B9D" w:rsidRDefault="00B70F88" w:rsidP="00B70F88">
      <w:pPr>
        <w:pStyle w:val="ListParagraph"/>
        <w:spacing w:line="360" w:lineRule="auto"/>
        <w:rPr>
          <w:rFonts w:ascii="Arial" w:hAnsi="Arial" w:cs="Arial"/>
          <w:sz w:val="24"/>
          <w:szCs w:val="24"/>
        </w:rPr>
      </w:pPr>
    </w:p>
    <w:tbl>
      <w:tblPr>
        <w:tblW w:w="4686"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68"/>
        <w:gridCol w:w="4654"/>
      </w:tblGrid>
      <w:tr w:rsidR="00B70F88" w:rsidRPr="00A64B9D" w:rsidTr="006226F4">
        <w:trPr>
          <w:trHeight w:hRule="exact" w:val="331"/>
          <w:tblHeader/>
        </w:trPr>
        <w:tc>
          <w:tcPr>
            <w:tcW w:w="5000" w:type="pct"/>
            <w:gridSpan w:val="2"/>
          </w:tcPr>
          <w:p w:rsidR="00B70F88" w:rsidRPr="00A64B9D" w:rsidRDefault="00B70F88" w:rsidP="006226F4">
            <w:pPr>
              <w:pStyle w:val="ListParagraph"/>
              <w:spacing w:line="360" w:lineRule="auto"/>
              <w:ind w:left="0"/>
              <w:jc w:val="center"/>
              <w:rPr>
                <w:rFonts w:ascii="Arial" w:hAnsi="Arial" w:cs="Arial"/>
                <w:b/>
                <w:sz w:val="24"/>
                <w:szCs w:val="24"/>
              </w:rPr>
            </w:pPr>
            <w:r w:rsidRPr="00A64B9D">
              <w:rPr>
                <w:rFonts w:ascii="Arial" w:hAnsi="Arial" w:cs="Arial"/>
                <w:b/>
                <w:sz w:val="24"/>
                <w:szCs w:val="24"/>
              </w:rPr>
              <w:t>Distribution Business</w:t>
            </w:r>
          </w:p>
        </w:tc>
      </w:tr>
      <w:tr w:rsidR="00B70F88" w:rsidRPr="00A64B9D" w:rsidTr="006226F4">
        <w:trPr>
          <w:trHeight w:hRule="exact" w:val="331"/>
        </w:trPr>
        <w:tc>
          <w:tcPr>
            <w:tcW w:w="2332" w:type="pct"/>
          </w:tcPr>
          <w:p w:rsidR="00B70F88" w:rsidRPr="00A64B9D" w:rsidRDefault="00B70F88" w:rsidP="006226F4">
            <w:pPr>
              <w:pStyle w:val="ListParagraph"/>
              <w:spacing w:line="360" w:lineRule="auto"/>
              <w:ind w:left="0"/>
              <w:jc w:val="center"/>
              <w:rPr>
                <w:rFonts w:ascii="Arial" w:hAnsi="Arial" w:cs="Arial"/>
                <w:b/>
                <w:sz w:val="24"/>
                <w:szCs w:val="24"/>
              </w:rPr>
            </w:pPr>
            <w:r w:rsidRPr="00A64B9D">
              <w:rPr>
                <w:rFonts w:ascii="Arial" w:hAnsi="Arial" w:cs="Arial"/>
                <w:b/>
                <w:sz w:val="24"/>
                <w:szCs w:val="24"/>
              </w:rPr>
              <w:t>ARR Item</w:t>
            </w:r>
          </w:p>
        </w:tc>
        <w:tc>
          <w:tcPr>
            <w:tcW w:w="2668" w:type="pct"/>
          </w:tcPr>
          <w:p w:rsidR="00B70F88" w:rsidRPr="00A64B9D" w:rsidRDefault="00B70F88" w:rsidP="006226F4">
            <w:pPr>
              <w:pStyle w:val="ListParagraph"/>
              <w:spacing w:line="360" w:lineRule="auto"/>
              <w:ind w:left="0"/>
              <w:jc w:val="center"/>
              <w:rPr>
                <w:rFonts w:ascii="Arial" w:hAnsi="Arial" w:cs="Arial"/>
                <w:b/>
                <w:sz w:val="24"/>
                <w:szCs w:val="24"/>
              </w:rPr>
            </w:pPr>
            <w:r w:rsidRPr="00A64B9D">
              <w:rPr>
                <w:rFonts w:ascii="Arial" w:hAnsi="Arial" w:cs="Arial"/>
                <w:b/>
                <w:sz w:val="24"/>
                <w:szCs w:val="24"/>
              </w:rPr>
              <w:t>“Controllable”/”Uncontrollable”</w:t>
            </w:r>
          </w:p>
        </w:tc>
      </w:tr>
      <w:tr w:rsidR="00B70F88" w:rsidRPr="00A64B9D" w:rsidTr="006226F4">
        <w:trPr>
          <w:trHeight w:hRule="exact" w:val="331"/>
        </w:trPr>
        <w:tc>
          <w:tcPr>
            <w:tcW w:w="2332" w:type="pct"/>
          </w:tcPr>
          <w:p w:rsidR="00B70F88" w:rsidRPr="00A64B9D" w:rsidRDefault="00B70F88" w:rsidP="006226F4">
            <w:pPr>
              <w:pStyle w:val="ListParagraph"/>
              <w:spacing w:line="360" w:lineRule="auto"/>
              <w:ind w:left="0"/>
              <w:rPr>
                <w:rFonts w:ascii="Arial" w:hAnsi="Arial" w:cs="Arial"/>
                <w:sz w:val="24"/>
                <w:szCs w:val="24"/>
              </w:rPr>
            </w:pPr>
            <w:r w:rsidRPr="00A64B9D">
              <w:rPr>
                <w:rFonts w:ascii="Arial" w:hAnsi="Arial" w:cs="Arial"/>
                <w:sz w:val="24"/>
                <w:szCs w:val="24"/>
              </w:rPr>
              <w:t>Operation &amp; Maintenance expenses</w:t>
            </w:r>
          </w:p>
        </w:tc>
        <w:tc>
          <w:tcPr>
            <w:tcW w:w="2668" w:type="pct"/>
          </w:tcPr>
          <w:p w:rsidR="00B70F88" w:rsidRPr="00A64B9D" w:rsidRDefault="00B70F88" w:rsidP="006226F4">
            <w:pPr>
              <w:pStyle w:val="ListParagraph"/>
              <w:spacing w:line="360" w:lineRule="auto"/>
              <w:ind w:left="0"/>
              <w:jc w:val="center"/>
              <w:rPr>
                <w:rFonts w:ascii="Arial" w:hAnsi="Arial" w:cs="Arial"/>
                <w:sz w:val="24"/>
                <w:szCs w:val="24"/>
              </w:rPr>
            </w:pPr>
            <w:r w:rsidRPr="00A64B9D">
              <w:rPr>
                <w:rFonts w:ascii="Arial" w:hAnsi="Arial" w:cs="Arial"/>
                <w:sz w:val="24"/>
                <w:szCs w:val="24"/>
              </w:rPr>
              <w:t>Controllable</w:t>
            </w:r>
          </w:p>
        </w:tc>
      </w:tr>
      <w:tr w:rsidR="00B70F88" w:rsidRPr="00A64B9D" w:rsidTr="006226F4">
        <w:trPr>
          <w:trHeight w:hRule="exact" w:val="331"/>
        </w:trPr>
        <w:tc>
          <w:tcPr>
            <w:tcW w:w="2332" w:type="pct"/>
          </w:tcPr>
          <w:p w:rsidR="00B70F88" w:rsidRPr="00A64B9D" w:rsidRDefault="00B70F88" w:rsidP="006226F4">
            <w:pPr>
              <w:pStyle w:val="ListParagraph"/>
              <w:spacing w:line="360" w:lineRule="auto"/>
              <w:ind w:left="0"/>
              <w:rPr>
                <w:rFonts w:ascii="Arial" w:hAnsi="Arial" w:cs="Arial"/>
                <w:sz w:val="24"/>
                <w:szCs w:val="24"/>
              </w:rPr>
            </w:pPr>
            <w:r w:rsidRPr="00A64B9D">
              <w:rPr>
                <w:rFonts w:ascii="Arial" w:hAnsi="Arial" w:cs="Arial"/>
                <w:sz w:val="24"/>
                <w:szCs w:val="24"/>
              </w:rPr>
              <w:t>Return on Capital Employed</w:t>
            </w:r>
          </w:p>
        </w:tc>
        <w:tc>
          <w:tcPr>
            <w:tcW w:w="2668" w:type="pct"/>
          </w:tcPr>
          <w:p w:rsidR="00B70F88" w:rsidRPr="00A64B9D" w:rsidRDefault="00B70F88" w:rsidP="006226F4">
            <w:pPr>
              <w:spacing w:line="360" w:lineRule="auto"/>
              <w:jc w:val="center"/>
              <w:rPr>
                <w:rFonts w:ascii="Arial" w:hAnsi="Arial" w:cs="Arial"/>
                <w:sz w:val="24"/>
                <w:szCs w:val="24"/>
              </w:rPr>
            </w:pPr>
            <w:r w:rsidRPr="00A64B9D">
              <w:rPr>
                <w:rFonts w:ascii="Arial" w:hAnsi="Arial" w:cs="Arial"/>
                <w:sz w:val="24"/>
                <w:szCs w:val="24"/>
              </w:rPr>
              <w:t>Controllable</w:t>
            </w:r>
          </w:p>
        </w:tc>
      </w:tr>
      <w:tr w:rsidR="00B70F88" w:rsidRPr="00A64B9D" w:rsidTr="006226F4">
        <w:trPr>
          <w:trHeight w:hRule="exact" w:val="331"/>
        </w:trPr>
        <w:tc>
          <w:tcPr>
            <w:tcW w:w="2332" w:type="pct"/>
          </w:tcPr>
          <w:p w:rsidR="00B70F88" w:rsidRPr="00A64B9D" w:rsidRDefault="00B70F88" w:rsidP="006226F4">
            <w:pPr>
              <w:pStyle w:val="ListParagraph"/>
              <w:spacing w:line="360" w:lineRule="auto"/>
              <w:ind w:left="0"/>
              <w:rPr>
                <w:rFonts w:ascii="Arial" w:hAnsi="Arial" w:cs="Arial"/>
                <w:sz w:val="24"/>
                <w:szCs w:val="24"/>
              </w:rPr>
            </w:pPr>
            <w:r w:rsidRPr="00A64B9D">
              <w:rPr>
                <w:rFonts w:ascii="Arial" w:hAnsi="Arial" w:cs="Arial"/>
                <w:sz w:val="24"/>
                <w:szCs w:val="24"/>
              </w:rPr>
              <w:t>Depreciation</w:t>
            </w:r>
          </w:p>
        </w:tc>
        <w:tc>
          <w:tcPr>
            <w:tcW w:w="2668" w:type="pct"/>
          </w:tcPr>
          <w:p w:rsidR="00B70F88" w:rsidRPr="00A64B9D" w:rsidRDefault="00B70F88" w:rsidP="006226F4">
            <w:pPr>
              <w:spacing w:line="360" w:lineRule="auto"/>
              <w:jc w:val="center"/>
              <w:rPr>
                <w:rFonts w:ascii="Arial" w:hAnsi="Arial" w:cs="Arial"/>
                <w:sz w:val="24"/>
                <w:szCs w:val="24"/>
              </w:rPr>
            </w:pPr>
            <w:r w:rsidRPr="00A64B9D">
              <w:rPr>
                <w:rFonts w:ascii="Arial" w:hAnsi="Arial" w:cs="Arial"/>
                <w:sz w:val="24"/>
                <w:szCs w:val="24"/>
              </w:rPr>
              <w:t>Controllable</w:t>
            </w:r>
          </w:p>
        </w:tc>
      </w:tr>
      <w:tr w:rsidR="00B70F88" w:rsidRPr="00A64B9D" w:rsidTr="006226F4">
        <w:trPr>
          <w:trHeight w:hRule="exact" w:val="331"/>
        </w:trPr>
        <w:tc>
          <w:tcPr>
            <w:tcW w:w="2332" w:type="pct"/>
          </w:tcPr>
          <w:p w:rsidR="00B70F88" w:rsidRPr="00A64B9D" w:rsidRDefault="00B70F88" w:rsidP="006226F4">
            <w:pPr>
              <w:pStyle w:val="ListParagraph"/>
              <w:spacing w:line="360" w:lineRule="auto"/>
              <w:ind w:left="0"/>
              <w:rPr>
                <w:rFonts w:ascii="Arial" w:hAnsi="Arial" w:cs="Arial"/>
                <w:sz w:val="24"/>
                <w:szCs w:val="24"/>
              </w:rPr>
            </w:pPr>
            <w:r w:rsidRPr="00A64B9D">
              <w:rPr>
                <w:rFonts w:ascii="Arial" w:hAnsi="Arial" w:cs="Arial"/>
                <w:sz w:val="24"/>
                <w:szCs w:val="24"/>
              </w:rPr>
              <w:t>Taxes on Income</w:t>
            </w:r>
          </w:p>
        </w:tc>
        <w:tc>
          <w:tcPr>
            <w:tcW w:w="2668" w:type="pct"/>
          </w:tcPr>
          <w:p w:rsidR="00B70F88" w:rsidRPr="00A64B9D" w:rsidRDefault="00B70F88" w:rsidP="006226F4">
            <w:pPr>
              <w:pStyle w:val="ListParagraph"/>
              <w:spacing w:line="360" w:lineRule="auto"/>
              <w:ind w:left="0"/>
              <w:jc w:val="center"/>
              <w:rPr>
                <w:rFonts w:ascii="Arial" w:hAnsi="Arial" w:cs="Arial"/>
                <w:sz w:val="24"/>
                <w:szCs w:val="24"/>
              </w:rPr>
            </w:pPr>
            <w:r w:rsidRPr="00A64B9D">
              <w:rPr>
                <w:rFonts w:ascii="Arial" w:hAnsi="Arial" w:cs="Arial"/>
                <w:sz w:val="24"/>
                <w:szCs w:val="24"/>
              </w:rPr>
              <w:t>Uncontrollable</w:t>
            </w:r>
          </w:p>
        </w:tc>
      </w:tr>
      <w:tr w:rsidR="00B70F88" w:rsidRPr="00A64B9D" w:rsidTr="006226F4">
        <w:trPr>
          <w:trHeight w:hRule="exact" w:val="331"/>
        </w:trPr>
        <w:tc>
          <w:tcPr>
            <w:tcW w:w="2332" w:type="pct"/>
          </w:tcPr>
          <w:p w:rsidR="00B70F88" w:rsidRPr="00A64B9D" w:rsidRDefault="00B70F88" w:rsidP="006226F4">
            <w:pPr>
              <w:pStyle w:val="ListParagraph"/>
              <w:spacing w:line="360" w:lineRule="auto"/>
              <w:ind w:left="0"/>
              <w:rPr>
                <w:rFonts w:ascii="Arial" w:hAnsi="Arial" w:cs="Arial"/>
                <w:sz w:val="24"/>
                <w:szCs w:val="24"/>
              </w:rPr>
            </w:pPr>
            <w:r w:rsidRPr="00A64B9D">
              <w:rPr>
                <w:rFonts w:ascii="Arial" w:hAnsi="Arial" w:cs="Arial"/>
                <w:sz w:val="24"/>
                <w:szCs w:val="24"/>
              </w:rPr>
              <w:t>Non-tariff income</w:t>
            </w:r>
          </w:p>
        </w:tc>
        <w:tc>
          <w:tcPr>
            <w:tcW w:w="2668" w:type="pct"/>
          </w:tcPr>
          <w:p w:rsidR="00B70F88" w:rsidRPr="00A64B9D" w:rsidRDefault="00B70F88" w:rsidP="006226F4">
            <w:pPr>
              <w:pStyle w:val="ListParagraph"/>
              <w:spacing w:line="360" w:lineRule="auto"/>
              <w:ind w:left="0"/>
              <w:jc w:val="center"/>
              <w:rPr>
                <w:rFonts w:ascii="Arial" w:hAnsi="Arial" w:cs="Arial"/>
                <w:sz w:val="24"/>
                <w:szCs w:val="24"/>
              </w:rPr>
            </w:pPr>
            <w:r w:rsidRPr="00A64B9D">
              <w:rPr>
                <w:rFonts w:ascii="Arial" w:hAnsi="Arial" w:cs="Arial"/>
                <w:sz w:val="24"/>
                <w:szCs w:val="24"/>
              </w:rPr>
              <w:t>Controllable</w:t>
            </w:r>
          </w:p>
        </w:tc>
      </w:tr>
    </w:tbl>
    <w:p w:rsidR="00B70F88" w:rsidRPr="00A64B9D" w:rsidRDefault="00B70F88" w:rsidP="00B70F88">
      <w:pPr>
        <w:pStyle w:val="ListParagraph"/>
        <w:spacing w:line="360" w:lineRule="auto"/>
        <w:rPr>
          <w:rFonts w:ascii="Arial" w:hAnsi="Arial" w:cs="Arial"/>
          <w:sz w:val="24"/>
          <w:szCs w:val="24"/>
        </w:rPr>
      </w:pPr>
    </w:p>
    <w:p w:rsidR="00B70F88" w:rsidRPr="00A64B9D" w:rsidRDefault="00B70F88" w:rsidP="00B70F88">
      <w:pPr>
        <w:pStyle w:val="ListParagraph"/>
        <w:spacing w:line="360" w:lineRule="auto"/>
        <w:ind w:left="810"/>
        <w:jc w:val="both"/>
        <w:rPr>
          <w:rFonts w:ascii="Arial" w:hAnsi="Arial" w:cs="Arial"/>
          <w:i/>
          <w:sz w:val="24"/>
          <w:szCs w:val="24"/>
        </w:rPr>
      </w:pPr>
      <w:r w:rsidRPr="00A64B9D">
        <w:rPr>
          <w:rFonts w:ascii="Arial" w:hAnsi="Arial" w:cs="Arial"/>
          <w:i/>
          <w:sz w:val="24"/>
          <w:szCs w:val="24"/>
        </w:rPr>
        <w:t>In addition to the above items the retail supply business shall include the following:</w:t>
      </w:r>
    </w:p>
    <w:tbl>
      <w:tblPr>
        <w:tblW w:w="4686"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68"/>
        <w:gridCol w:w="4654"/>
      </w:tblGrid>
      <w:tr w:rsidR="00B70F88" w:rsidRPr="00A64B9D" w:rsidTr="006226F4">
        <w:trPr>
          <w:trHeight w:hRule="exact" w:val="331"/>
          <w:tblHeader/>
        </w:trPr>
        <w:tc>
          <w:tcPr>
            <w:tcW w:w="5000" w:type="pct"/>
            <w:gridSpan w:val="2"/>
          </w:tcPr>
          <w:p w:rsidR="00B70F88" w:rsidRPr="00A64B9D" w:rsidRDefault="00B70F88" w:rsidP="006226F4">
            <w:pPr>
              <w:pStyle w:val="ListParagraph"/>
              <w:spacing w:line="360" w:lineRule="auto"/>
              <w:ind w:left="0"/>
              <w:jc w:val="center"/>
              <w:rPr>
                <w:rFonts w:ascii="Arial" w:hAnsi="Arial" w:cs="Arial"/>
                <w:b/>
                <w:sz w:val="24"/>
                <w:szCs w:val="24"/>
              </w:rPr>
            </w:pPr>
            <w:r w:rsidRPr="00A64B9D">
              <w:rPr>
                <w:rFonts w:ascii="Arial" w:hAnsi="Arial" w:cs="Arial"/>
                <w:b/>
                <w:sz w:val="24"/>
                <w:szCs w:val="24"/>
              </w:rPr>
              <w:t>Distribution Business</w:t>
            </w:r>
          </w:p>
        </w:tc>
      </w:tr>
      <w:tr w:rsidR="00B70F88" w:rsidRPr="00A64B9D" w:rsidTr="006226F4">
        <w:trPr>
          <w:trHeight w:hRule="exact" w:val="388"/>
        </w:trPr>
        <w:tc>
          <w:tcPr>
            <w:tcW w:w="2332" w:type="pct"/>
          </w:tcPr>
          <w:p w:rsidR="00B70F88" w:rsidRPr="00A64B9D" w:rsidRDefault="00B70F88" w:rsidP="006226F4">
            <w:pPr>
              <w:pStyle w:val="ListParagraph"/>
              <w:spacing w:line="360" w:lineRule="auto"/>
              <w:ind w:left="0"/>
              <w:jc w:val="center"/>
              <w:rPr>
                <w:rFonts w:ascii="Arial" w:hAnsi="Arial" w:cs="Arial"/>
                <w:b/>
                <w:sz w:val="24"/>
                <w:szCs w:val="24"/>
              </w:rPr>
            </w:pPr>
            <w:r w:rsidRPr="00A64B9D">
              <w:rPr>
                <w:rFonts w:ascii="Arial" w:hAnsi="Arial" w:cs="Arial"/>
                <w:b/>
                <w:sz w:val="24"/>
                <w:szCs w:val="24"/>
              </w:rPr>
              <w:t>ARR Item</w:t>
            </w:r>
          </w:p>
        </w:tc>
        <w:tc>
          <w:tcPr>
            <w:tcW w:w="2668" w:type="pct"/>
          </w:tcPr>
          <w:p w:rsidR="00B70F88" w:rsidRPr="00A64B9D" w:rsidRDefault="00B70F88" w:rsidP="006226F4">
            <w:pPr>
              <w:pStyle w:val="ListParagraph"/>
              <w:spacing w:line="360" w:lineRule="auto"/>
              <w:ind w:left="0"/>
              <w:jc w:val="center"/>
              <w:rPr>
                <w:rFonts w:ascii="Arial" w:hAnsi="Arial" w:cs="Arial"/>
                <w:b/>
                <w:sz w:val="24"/>
                <w:szCs w:val="24"/>
              </w:rPr>
            </w:pPr>
            <w:r w:rsidRPr="00A64B9D">
              <w:rPr>
                <w:rFonts w:ascii="Arial" w:hAnsi="Arial" w:cs="Arial"/>
                <w:b/>
                <w:sz w:val="24"/>
                <w:szCs w:val="24"/>
              </w:rPr>
              <w:t>“Controllable”/”Uncontrollable”</w:t>
            </w:r>
          </w:p>
        </w:tc>
      </w:tr>
      <w:tr w:rsidR="00B70F88" w:rsidRPr="00A64B9D" w:rsidTr="006226F4">
        <w:trPr>
          <w:trHeight w:hRule="exact" w:val="487"/>
        </w:trPr>
        <w:tc>
          <w:tcPr>
            <w:tcW w:w="2332" w:type="pct"/>
          </w:tcPr>
          <w:p w:rsidR="00B70F88" w:rsidRPr="00A64B9D" w:rsidRDefault="00B70F88" w:rsidP="006226F4">
            <w:pPr>
              <w:pStyle w:val="ListParagraph"/>
              <w:spacing w:line="360" w:lineRule="auto"/>
              <w:ind w:left="0"/>
              <w:rPr>
                <w:rFonts w:ascii="Arial" w:hAnsi="Arial" w:cs="Arial"/>
                <w:sz w:val="24"/>
                <w:szCs w:val="24"/>
              </w:rPr>
            </w:pPr>
            <w:r w:rsidRPr="00A64B9D">
              <w:rPr>
                <w:rFonts w:ascii="Arial" w:hAnsi="Arial" w:cs="Arial"/>
                <w:sz w:val="24"/>
                <w:szCs w:val="24"/>
              </w:rPr>
              <w:t>Cost of power purchase</w:t>
            </w:r>
          </w:p>
        </w:tc>
        <w:tc>
          <w:tcPr>
            <w:tcW w:w="2668" w:type="pct"/>
          </w:tcPr>
          <w:p w:rsidR="00B70F88" w:rsidRPr="00A64B9D" w:rsidRDefault="00B70F88" w:rsidP="006226F4">
            <w:pPr>
              <w:pStyle w:val="ListParagraph"/>
              <w:spacing w:line="360" w:lineRule="auto"/>
              <w:ind w:left="0"/>
              <w:jc w:val="center"/>
              <w:rPr>
                <w:rFonts w:ascii="Arial" w:hAnsi="Arial" w:cs="Arial"/>
                <w:sz w:val="24"/>
                <w:szCs w:val="24"/>
              </w:rPr>
            </w:pPr>
            <w:r w:rsidRPr="00A64B9D">
              <w:rPr>
                <w:rFonts w:ascii="Arial" w:hAnsi="Arial" w:cs="Arial"/>
                <w:sz w:val="24"/>
                <w:szCs w:val="24"/>
              </w:rPr>
              <w:t>Uncontrollable</w:t>
            </w:r>
          </w:p>
        </w:tc>
      </w:tr>
    </w:tbl>
    <w:p w:rsidR="00B70F88" w:rsidRPr="00A64B9D" w:rsidRDefault="00B70F88" w:rsidP="00B70F88">
      <w:pPr>
        <w:autoSpaceDE w:val="0"/>
        <w:autoSpaceDN w:val="0"/>
        <w:adjustRightInd w:val="0"/>
        <w:spacing w:line="360" w:lineRule="auto"/>
        <w:ind w:left="810"/>
        <w:rPr>
          <w:rFonts w:ascii="Arial" w:hAnsi="Arial" w:cs="Arial"/>
          <w:i/>
          <w:sz w:val="24"/>
          <w:szCs w:val="24"/>
        </w:rPr>
      </w:pPr>
    </w:p>
    <w:p w:rsidR="00B70F88" w:rsidRPr="00A64B9D" w:rsidRDefault="00B70F88" w:rsidP="00B70F88">
      <w:pPr>
        <w:autoSpaceDE w:val="0"/>
        <w:autoSpaceDN w:val="0"/>
        <w:adjustRightInd w:val="0"/>
        <w:spacing w:line="360" w:lineRule="auto"/>
        <w:ind w:left="810"/>
        <w:jc w:val="both"/>
        <w:rPr>
          <w:rFonts w:ascii="Arial" w:hAnsi="Arial" w:cs="Arial"/>
          <w:i/>
          <w:sz w:val="24"/>
          <w:szCs w:val="24"/>
        </w:rPr>
      </w:pPr>
      <w:r w:rsidRPr="00A64B9D">
        <w:rPr>
          <w:rFonts w:ascii="Arial" w:hAnsi="Arial" w:cs="Arial"/>
          <w:i/>
          <w:sz w:val="24"/>
          <w:szCs w:val="24"/>
        </w:rPr>
        <w:t>5. Pass-through of gains and losses on variations in “uncontrollable” items of ARR:- The Distribution Licensee shall be eligible to claim variations in “uncontrollable” items in the ARR for the year succeeding the relevant year of the Control Period depending on the availability of data as per actuals with respect to effect of uncontrollable items:</w:t>
      </w:r>
    </w:p>
    <w:p w:rsidR="00B70F88" w:rsidRPr="00A64B9D" w:rsidRDefault="00B70F88" w:rsidP="00B70F88">
      <w:pPr>
        <w:autoSpaceDE w:val="0"/>
        <w:autoSpaceDN w:val="0"/>
        <w:adjustRightInd w:val="0"/>
        <w:spacing w:line="360" w:lineRule="auto"/>
        <w:ind w:left="810"/>
        <w:jc w:val="both"/>
        <w:rPr>
          <w:rFonts w:ascii="Arial" w:hAnsi="Arial" w:cs="Arial"/>
          <w:i/>
          <w:sz w:val="24"/>
          <w:szCs w:val="24"/>
        </w:rPr>
      </w:pPr>
      <w:r w:rsidRPr="00A64B9D">
        <w:rPr>
          <w:rFonts w:ascii="Arial" w:hAnsi="Arial" w:cs="Arial"/>
          <w:i/>
          <w:sz w:val="24"/>
          <w:szCs w:val="24"/>
        </w:rPr>
        <w:t xml:space="preserve">Provided that the Commission shall allow the </w:t>
      </w:r>
      <w:r w:rsidRPr="00A64B9D">
        <w:rPr>
          <w:rFonts w:ascii="Arial" w:hAnsi="Arial" w:cs="Arial"/>
          <w:i/>
          <w:sz w:val="24"/>
          <w:szCs w:val="24"/>
          <w:u w:val="single"/>
        </w:rPr>
        <w:t>financing cost on account</w:t>
      </w:r>
      <w:r w:rsidRPr="00A64B9D">
        <w:rPr>
          <w:rFonts w:ascii="Arial" w:hAnsi="Arial" w:cs="Arial"/>
          <w:i/>
          <w:sz w:val="24"/>
          <w:szCs w:val="24"/>
        </w:rPr>
        <w:t xml:space="preserve"> of the time gap between the time when the true-up becomes due and when it is actually allowed and the corrections shall not be normally revisited.</w:t>
      </w:r>
    </w:p>
    <w:p w:rsidR="00B70F88" w:rsidRPr="00A64B9D" w:rsidRDefault="00B70F88" w:rsidP="00B70F88">
      <w:pPr>
        <w:autoSpaceDE w:val="0"/>
        <w:autoSpaceDN w:val="0"/>
        <w:adjustRightInd w:val="0"/>
        <w:spacing w:line="360" w:lineRule="auto"/>
        <w:ind w:left="810"/>
        <w:jc w:val="both"/>
        <w:rPr>
          <w:rFonts w:ascii="Arial" w:hAnsi="Arial" w:cs="Arial"/>
          <w:i/>
          <w:sz w:val="24"/>
          <w:szCs w:val="24"/>
        </w:rPr>
      </w:pPr>
    </w:p>
    <w:p w:rsidR="00B70F88" w:rsidRPr="00A64B9D" w:rsidRDefault="00B70F88" w:rsidP="00B70F88">
      <w:pPr>
        <w:autoSpaceDE w:val="0"/>
        <w:autoSpaceDN w:val="0"/>
        <w:adjustRightInd w:val="0"/>
        <w:spacing w:line="360" w:lineRule="auto"/>
        <w:ind w:left="810"/>
        <w:jc w:val="both"/>
        <w:rPr>
          <w:rFonts w:ascii="Arial" w:hAnsi="Arial" w:cs="Arial"/>
          <w:i/>
          <w:sz w:val="24"/>
          <w:szCs w:val="24"/>
        </w:rPr>
      </w:pPr>
      <w:r w:rsidRPr="00A64B9D">
        <w:rPr>
          <w:rFonts w:ascii="Arial" w:hAnsi="Arial" w:cs="Arial"/>
          <w:i/>
          <w:sz w:val="24"/>
          <w:szCs w:val="24"/>
        </w:rPr>
        <w:lastRenderedPageBreak/>
        <w:t xml:space="preserve">6. Sharing of gains and losses on variations in “controllable” items of ARR:- The Distribution Licensee in its annual filings during the Control Period shall present gains and losses for each controllable item of the Aggregate Revenue Requirement. </w:t>
      </w:r>
    </w:p>
    <w:p w:rsidR="00B70F88" w:rsidRPr="00A64B9D" w:rsidRDefault="00B70F88" w:rsidP="00B70F88">
      <w:pPr>
        <w:autoSpaceDE w:val="0"/>
        <w:autoSpaceDN w:val="0"/>
        <w:adjustRightInd w:val="0"/>
        <w:spacing w:line="360" w:lineRule="auto"/>
        <w:ind w:left="810"/>
        <w:jc w:val="both"/>
        <w:rPr>
          <w:rFonts w:ascii="Arial" w:hAnsi="Arial" w:cs="Arial"/>
          <w:i/>
          <w:sz w:val="24"/>
          <w:szCs w:val="24"/>
        </w:rPr>
      </w:pPr>
    </w:p>
    <w:p w:rsidR="00B70F88" w:rsidRPr="00A64B9D" w:rsidRDefault="00B70F88" w:rsidP="00B70F88">
      <w:pPr>
        <w:autoSpaceDE w:val="0"/>
        <w:autoSpaceDN w:val="0"/>
        <w:adjustRightInd w:val="0"/>
        <w:spacing w:line="360" w:lineRule="auto"/>
        <w:ind w:left="810"/>
        <w:jc w:val="both"/>
        <w:rPr>
          <w:rFonts w:ascii="Arial" w:hAnsi="Arial" w:cs="Arial"/>
          <w:i/>
          <w:sz w:val="24"/>
          <w:szCs w:val="24"/>
        </w:rPr>
      </w:pPr>
      <w:r w:rsidRPr="00A64B9D">
        <w:rPr>
          <w:rFonts w:ascii="Arial" w:hAnsi="Arial" w:cs="Arial"/>
          <w:i/>
          <w:sz w:val="24"/>
          <w:szCs w:val="24"/>
        </w:rPr>
        <w:t>A statement of gain and loss against each controllable item will be presented after adjusting for any variations on account of uncontrollable factors.</w:t>
      </w:r>
    </w:p>
    <w:p w:rsidR="00B70F88" w:rsidRPr="00A64B9D" w:rsidRDefault="00B70F88" w:rsidP="009E3E44">
      <w:pPr>
        <w:autoSpaceDE w:val="0"/>
        <w:autoSpaceDN w:val="0"/>
        <w:adjustRightInd w:val="0"/>
        <w:spacing w:line="360" w:lineRule="auto"/>
        <w:jc w:val="both"/>
        <w:rPr>
          <w:rFonts w:ascii="Arial" w:hAnsi="Arial" w:cs="Arial"/>
          <w:i/>
          <w:sz w:val="24"/>
          <w:szCs w:val="24"/>
        </w:rPr>
      </w:pPr>
    </w:p>
    <w:p w:rsidR="00B70F88" w:rsidRPr="00A64B9D" w:rsidRDefault="00B70F88" w:rsidP="00B70F88">
      <w:pPr>
        <w:autoSpaceDE w:val="0"/>
        <w:autoSpaceDN w:val="0"/>
        <w:adjustRightInd w:val="0"/>
        <w:spacing w:line="360" w:lineRule="auto"/>
        <w:ind w:left="810"/>
        <w:jc w:val="both"/>
        <w:rPr>
          <w:rFonts w:ascii="Arial" w:hAnsi="Arial" w:cs="Arial"/>
          <w:i/>
          <w:sz w:val="24"/>
          <w:szCs w:val="24"/>
        </w:rPr>
      </w:pPr>
      <w:r w:rsidRPr="00A64B9D">
        <w:rPr>
          <w:rFonts w:ascii="Arial" w:hAnsi="Arial" w:cs="Arial"/>
          <w:i/>
          <w:sz w:val="24"/>
          <w:szCs w:val="24"/>
        </w:rPr>
        <w:t>7. For the purpose of sharing gains and losses with the consumers, only aggregate gains or losses for the Control Period as a whole will be considered. The Commission will review the gains and losses for each item of the ARR and make appropriate adjustments wherever required:</w:t>
      </w:r>
    </w:p>
    <w:p w:rsidR="00B70F88" w:rsidRPr="00A64B9D" w:rsidRDefault="00B70F88" w:rsidP="00B70F88">
      <w:pPr>
        <w:autoSpaceDE w:val="0"/>
        <w:autoSpaceDN w:val="0"/>
        <w:adjustRightInd w:val="0"/>
        <w:spacing w:line="360" w:lineRule="auto"/>
        <w:ind w:left="810"/>
        <w:jc w:val="both"/>
        <w:rPr>
          <w:rFonts w:ascii="Arial" w:hAnsi="Arial" w:cs="Arial"/>
          <w:i/>
          <w:sz w:val="24"/>
          <w:szCs w:val="24"/>
        </w:rPr>
      </w:pPr>
    </w:p>
    <w:p w:rsidR="00B70F88" w:rsidRPr="00A64B9D" w:rsidRDefault="00B70F88" w:rsidP="00B70F88">
      <w:pPr>
        <w:autoSpaceDE w:val="0"/>
        <w:autoSpaceDN w:val="0"/>
        <w:adjustRightInd w:val="0"/>
        <w:spacing w:line="360" w:lineRule="auto"/>
        <w:ind w:left="810"/>
        <w:jc w:val="both"/>
        <w:rPr>
          <w:rFonts w:ascii="Arial" w:hAnsi="Arial" w:cs="Arial"/>
          <w:i/>
          <w:sz w:val="24"/>
          <w:szCs w:val="24"/>
        </w:rPr>
      </w:pPr>
      <w:r w:rsidRPr="00A64B9D">
        <w:rPr>
          <w:rFonts w:ascii="Arial" w:hAnsi="Arial" w:cs="Arial"/>
          <w:i/>
          <w:sz w:val="24"/>
          <w:szCs w:val="24"/>
        </w:rPr>
        <w:t>Provided that for the first Control Period, insofar as the gains and losses from the Retail Supply Business of the Distribution Licensee are concerned, these will be shared with the consumers on yearly basis.”</w:t>
      </w:r>
    </w:p>
    <w:p w:rsidR="00B70F88" w:rsidRPr="00A64B9D" w:rsidRDefault="00B70F88" w:rsidP="00B70F88">
      <w:pPr>
        <w:autoSpaceDE w:val="0"/>
        <w:autoSpaceDN w:val="0"/>
        <w:adjustRightInd w:val="0"/>
        <w:spacing w:line="360" w:lineRule="auto"/>
        <w:jc w:val="both"/>
        <w:rPr>
          <w:rFonts w:ascii="Arial" w:hAnsi="Arial" w:cs="Arial"/>
          <w:i/>
          <w:sz w:val="24"/>
          <w:szCs w:val="24"/>
        </w:rPr>
      </w:pPr>
    </w:p>
    <w:p w:rsidR="00B70F88" w:rsidRPr="00A64B9D" w:rsidRDefault="00B70F88" w:rsidP="00B70F88">
      <w:pPr>
        <w:pStyle w:val="ListParagraph"/>
        <w:spacing w:line="360" w:lineRule="auto"/>
        <w:jc w:val="both"/>
        <w:rPr>
          <w:rFonts w:ascii="Arial" w:hAnsi="Arial" w:cs="Arial"/>
          <w:sz w:val="24"/>
          <w:szCs w:val="24"/>
        </w:rPr>
      </w:pPr>
      <w:r w:rsidRPr="00A64B9D">
        <w:rPr>
          <w:rFonts w:ascii="Arial" w:hAnsi="Arial" w:cs="Arial"/>
          <w:sz w:val="24"/>
          <w:szCs w:val="24"/>
        </w:rPr>
        <w:t xml:space="preserve">Further, it is pertinent to mention that the retail true-up in respect of power purchase is to be done every year in accordance to APERC Regulation 1 of 2014 (First amendment to Regulation No. 4 of 2005) as adopted by TSERC Regulation No. 1 of 2014 every year. The true-ups of the Distribution business for a control period have to be taken up at the end of the control period i.e. 5-year period as per Regulation 4 of 2005. As these true-ups/true-downs pertains to Distribution business, the effect shall necessarily be reflective in the Distribution Business ARR and Revenue i.e. Wheeling Tariffs. As such the gains/losses of the Distribution business of a control period have to be passed only in the form of revision of Wheeling Tariffs in the ensuing control period. This prompts the licensee to file the Distribution Business True-ups of the </w:t>
      </w:r>
      <w:r w:rsidRPr="00A64B9D">
        <w:rPr>
          <w:rFonts w:ascii="Arial" w:hAnsi="Arial" w:cs="Arial"/>
          <w:sz w:val="24"/>
          <w:szCs w:val="24"/>
        </w:rPr>
        <w:lastRenderedPageBreak/>
        <w:t>preceding control period during the ARR filings of the Successive Control period. As the ARR filings for Distribution business for the ensuing period needs to file at the last year of the control period, the actual details of the last year of the control period will not be available.</w:t>
      </w:r>
    </w:p>
    <w:p w:rsidR="00B70F88" w:rsidRPr="00A64B9D" w:rsidRDefault="00B70F88" w:rsidP="00B70F88">
      <w:pPr>
        <w:pStyle w:val="ListParagraph"/>
        <w:spacing w:line="360" w:lineRule="auto"/>
        <w:jc w:val="both"/>
        <w:rPr>
          <w:rFonts w:ascii="Arial" w:hAnsi="Arial" w:cs="Arial"/>
          <w:sz w:val="24"/>
          <w:szCs w:val="24"/>
        </w:rPr>
      </w:pPr>
      <w:r w:rsidRPr="00A64B9D">
        <w:rPr>
          <w:rFonts w:ascii="Arial" w:hAnsi="Arial" w:cs="Arial"/>
          <w:sz w:val="24"/>
          <w:szCs w:val="24"/>
        </w:rPr>
        <w:t>Hence, the licensee has made revised estimates of the last Year of the 3</w:t>
      </w:r>
      <w:r w:rsidRPr="00A64B9D">
        <w:rPr>
          <w:rFonts w:ascii="Arial" w:hAnsi="Arial" w:cs="Arial"/>
          <w:sz w:val="24"/>
          <w:szCs w:val="24"/>
          <w:vertAlign w:val="superscript"/>
        </w:rPr>
        <w:t>rd</w:t>
      </w:r>
      <w:r w:rsidRPr="00A64B9D">
        <w:rPr>
          <w:rFonts w:ascii="Arial" w:hAnsi="Arial" w:cs="Arial"/>
          <w:sz w:val="24"/>
          <w:szCs w:val="24"/>
        </w:rPr>
        <w:t xml:space="preserve"> Control Period i.e FY 2018-19 in the present True-up filings in the absence of actuals. </w:t>
      </w:r>
    </w:p>
    <w:p w:rsidR="00B70F88" w:rsidRPr="00A64B9D" w:rsidRDefault="00B70F88" w:rsidP="00B70F88">
      <w:pPr>
        <w:pStyle w:val="ListParagraph"/>
        <w:spacing w:line="360" w:lineRule="auto"/>
        <w:ind w:left="810"/>
        <w:jc w:val="both"/>
        <w:rPr>
          <w:rFonts w:ascii="Arial" w:hAnsi="Arial" w:cs="Arial"/>
          <w:sz w:val="24"/>
          <w:szCs w:val="24"/>
        </w:rPr>
      </w:pPr>
    </w:p>
    <w:p w:rsidR="00B70F88" w:rsidRPr="00A64B9D" w:rsidRDefault="00B70F88" w:rsidP="00B70F88">
      <w:pPr>
        <w:pStyle w:val="ListParagraph"/>
        <w:spacing w:line="360" w:lineRule="auto"/>
        <w:ind w:left="810"/>
        <w:jc w:val="both"/>
        <w:rPr>
          <w:rFonts w:ascii="Arial" w:hAnsi="Arial" w:cs="Arial"/>
          <w:sz w:val="24"/>
          <w:szCs w:val="24"/>
        </w:rPr>
      </w:pPr>
      <w:r w:rsidRPr="00A64B9D">
        <w:rPr>
          <w:rFonts w:ascii="Arial" w:hAnsi="Arial" w:cs="Arial"/>
          <w:sz w:val="24"/>
          <w:szCs w:val="24"/>
        </w:rPr>
        <w:t xml:space="preserve">Hence, </w:t>
      </w:r>
      <w:r w:rsidRPr="00A64B9D">
        <w:rPr>
          <w:rFonts w:ascii="Arial" w:hAnsi="Arial" w:cs="Arial"/>
          <w:color w:val="000000"/>
          <w:sz w:val="24"/>
          <w:szCs w:val="24"/>
        </w:rPr>
        <w:t xml:space="preserve">this Petition details the total truing up gap arising out of the deviations in both </w:t>
      </w:r>
      <w:r w:rsidRPr="00A64B9D">
        <w:rPr>
          <w:rFonts w:ascii="Arial" w:hAnsi="Arial" w:cs="Arial"/>
          <w:sz w:val="24"/>
          <w:szCs w:val="24"/>
        </w:rPr>
        <w:t>“uncontrollable” and “controllable” items</w:t>
      </w:r>
      <w:r w:rsidRPr="00A64B9D" w:rsidDel="007D0B13">
        <w:rPr>
          <w:rFonts w:ascii="Arial" w:hAnsi="Arial" w:cs="Arial"/>
          <w:color w:val="000000"/>
          <w:sz w:val="24"/>
          <w:szCs w:val="24"/>
        </w:rPr>
        <w:t xml:space="preserve"> </w:t>
      </w:r>
      <w:r w:rsidRPr="00A64B9D">
        <w:rPr>
          <w:rFonts w:ascii="Arial" w:hAnsi="Arial" w:cs="Arial"/>
          <w:color w:val="000000"/>
          <w:sz w:val="24"/>
          <w:szCs w:val="24"/>
        </w:rPr>
        <w:t>for the Third MYT Control Period with actuals for FY 2014-15 to FY 2018-19 in subsequent sections of this Petition.</w:t>
      </w:r>
    </w:p>
    <w:p w:rsidR="00B70F88" w:rsidRPr="00A64B9D" w:rsidRDefault="00B70F88" w:rsidP="00B70F88">
      <w:pPr>
        <w:jc w:val="center"/>
        <w:rPr>
          <w:rFonts w:ascii="Arial" w:hAnsi="Arial" w:cs="Arial"/>
          <w:b/>
          <w:bCs/>
          <w:color w:val="FFFFFF"/>
          <w:sz w:val="24"/>
          <w:szCs w:val="24"/>
        </w:rPr>
        <w:sectPr w:rsidR="00B70F88" w:rsidRPr="00A64B9D" w:rsidSect="006226F4">
          <w:footerReference w:type="default" r:id="rId7"/>
          <w:pgSz w:w="12240" w:h="15840"/>
          <w:pgMar w:top="1276" w:right="1710" w:bottom="1440" w:left="1440" w:header="720" w:footer="499" w:gutter="0"/>
          <w:cols w:space="720"/>
          <w:docGrid w:linePitch="360"/>
        </w:sectPr>
      </w:pPr>
    </w:p>
    <w:p w:rsidR="00B70F88" w:rsidRPr="00A64B9D" w:rsidRDefault="00B70F88" w:rsidP="00B70F88">
      <w:pPr>
        <w:pStyle w:val="Heading3"/>
        <w:rPr>
          <w:rFonts w:cs="Arial"/>
          <w:sz w:val="24"/>
          <w:szCs w:val="24"/>
        </w:rPr>
      </w:pPr>
      <w:r w:rsidRPr="00A64B9D">
        <w:rPr>
          <w:rFonts w:cs="Arial"/>
          <w:sz w:val="24"/>
          <w:szCs w:val="24"/>
        </w:rPr>
        <w:lastRenderedPageBreak/>
        <w:t xml:space="preserve">True-up of ARR Components &amp; Total Revenue Gap </w:t>
      </w:r>
    </w:p>
    <w:p w:rsidR="00B70F88" w:rsidRPr="00A64B9D" w:rsidRDefault="00B70F88" w:rsidP="00B70F88">
      <w:pPr>
        <w:pStyle w:val="ListParagraph"/>
        <w:spacing w:after="200" w:line="360" w:lineRule="auto"/>
        <w:jc w:val="both"/>
        <w:rPr>
          <w:rFonts w:ascii="Arial" w:hAnsi="Arial" w:cs="Arial"/>
          <w:sz w:val="24"/>
          <w:szCs w:val="24"/>
        </w:rPr>
      </w:pPr>
      <w:r w:rsidRPr="00A64B9D">
        <w:rPr>
          <w:rFonts w:ascii="Arial" w:hAnsi="Arial" w:cs="Arial"/>
          <w:sz w:val="24"/>
          <w:szCs w:val="24"/>
        </w:rPr>
        <w:t xml:space="preserve">The Distribution Licensee files for the truing-up of </w:t>
      </w:r>
      <w:r w:rsidRPr="00A64B9D">
        <w:rPr>
          <w:rFonts w:ascii="Arial" w:hAnsi="Arial" w:cs="Arial"/>
          <w:b/>
          <w:sz w:val="24"/>
          <w:szCs w:val="24"/>
        </w:rPr>
        <w:t>Rs 83 Crs</w:t>
      </w:r>
      <w:r w:rsidRPr="00A64B9D">
        <w:rPr>
          <w:rFonts w:ascii="Arial" w:hAnsi="Arial" w:cs="Arial"/>
          <w:sz w:val="24"/>
          <w:szCs w:val="24"/>
        </w:rPr>
        <w:t xml:space="preserve"> for the Third MYT Control Period from FY 2014-15 to FY 2018-19. Summary of ARR line items and revenue for FY 2014-15 to FY 2018-19 is shown in the table below. </w:t>
      </w:r>
    </w:p>
    <w:p w:rsidR="00B70F88" w:rsidRPr="00A64B9D" w:rsidRDefault="00B70F88" w:rsidP="00B70F88">
      <w:pPr>
        <w:pStyle w:val="ListParagraph"/>
        <w:spacing w:after="200" w:line="360" w:lineRule="auto"/>
        <w:rPr>
          <w:rFonts w:ascii="Arial" w:hAnsi="Arial" w:cs="Arial"/>
          <w:i/>
          <w:sz w:val="24"/>
          <w:szCs w:val="24"/>
          <w:u w:val="single"/>
        </w:rPr>
        <w:sectPr w:rsidR="00B70F88" w:rsidRPr="00A64B9D" w:rsidSect="006226F4">
          <w:pgSz w:w="15840" w:h="12240" w:orient="landscape"/>
          <w:pgMar w:top="709" w:right="1134" w:bottom="1135" w:left="1440" w:header="720" w:footer="499" w:gutter="0"/>
          <w:cols w:space="720"/>
          <w:docGrid w:linePitch="360"/>
        </w:sectPr>
      </w:pPr>
      <w:r>
        <w:rPr>
          <w:rFonts w:ascii="Arial" w:hAnsi="Arial" w:cs="Arial"/>
          <w:noProof/>
          <w:sz w:val="24"/>
          <w:szCs w:val="24"/>
          <w:lang w:val="en-US"/>
        </w:rPr>
        <w:drawing>
          <wp:inline distT="0" distB="0" distL="0" distR="0">
            <wp:extent cx="8401050" cy="4600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8401050" cy="4600575"/>
                    </a:xfrm>
                    <a:prstGeom prst="rect">
                      <a:avLst/>
                    </a:prstGeom>
                    <a:noFill/>
                    <a:ln w="9525">
                      <a:noFill/>
                      <a:miter lim="800000"/>
                      <a:headEnd/>
                      <a:tailEnd/>
                    </a:ln>
                  </pic:spPr>
                </pic:pic>
              </a:graphicData>
            </a:graphic>
          </wp:inline>
        </w:drawing>
      </w:r>
      <w:r w:rsidRPr="00A64B9D">
        <w:rPr>
          <w:rFonts w:ascii="Arial" w:hAnsi="Arial" w:cs="Arial"/>
          <w:sz w:val="24"/>
          <w:szCs w:val="24"/>
        </w:rPr>
        <w:t>*</w:t>
      </w:r>
      <w:r w:rsidRPr="00A64B9D">
        <w:rPr>
          <w:rFonts w:ascii="Arial" w:hAnsi="Arial" w:cs="Arial"/>
          <w:i/>
          <w:sz w:val="24"/>
          <w:szCs w:val="24"/>
          <w:u w:val="single"/>
        </w:rPr>
        <w:t xml:space="preserve"> App-Approved, Act-Actual, Dev-Deviation</w:t>
      </w:r>
    </w:p>
    <w:p w:rsidR="00B70F88" w:rsidRPr="00A64B9D" w:rsidRDefault="00B70F88" w:rsidP="00B70F88">
      <w:pPr>
        <w:pStyle w:val="Heading3"/>
        <w:rPr>
          <w:rFonts w:cs="Arial"/>
          <w:sz w:val="24"/>
          <w:szCs w:val="24"/>
        </w:rPr>
      </w:pPr>
      <w:bookmarkStart w:id="5" w:name="_Toc532655522"/>
      <w:bookmarkStart w:id="6" w:name="_Toc532655694"/>
      <w:bookmarkStart w:id="7" w:name="_Toc532655851"/>
      <w:bookmarkStart w:id="8" w:name="_Toc532655893"/>
      <w:r w:rsidRPr="00A64B9D">
        <w:rPr>
          <w:rFonts w:cs="Arial"/>
          <w:sz w:val="24"/>
          <w:szCs w:val="24"/>
        </w:rPr>
        <w:lastRenderedPageBreak/>
        <w:t>Reasons for Deviation in year wise ARR:</w:t>
      </w:r>
      <w:bookmarkEnd w:id="5"/>
      <w:bookmarkEnd w:id="6"/>
      <w:bookmarkEnd w:id="7"/>
      <w:bookmarkEnd w:id="8"/>
      <w:r w:rsidRPr="00A64B9D">
        <w:rPr>
          <w:rFonts w:cs="Arial"/>
          <w:sz w:val="24"/>
          <w:szCs w:val="24"/>
        </w:rPr>
        <w:t xml:space="preserve"> </w:t>
      </w:r>
    </w:p>
    <w:p w:rsidR="00B70F88" w:rsidRPr="00A64B9D" w:rsidRDefault="00B70F88" w:rsidP="00B70F88">
      <w:pPr>
        <w:rPr>
          <w:rFonts w:ascii="Arial" w:hAnsi="Arial" w:cs="Arial"/>
          <w:sz w:val="24"/>
          <w:szCs w:val="24"/>
        </w:rPr>
      </w:pPr>
    </w:p>
    <w:p w:rsidR="00B70F88" w:rsidRPr="00A64B9D" w:rsidRDefault="00B70F88" w:rsidP="00B70F88">
      <w:pPr>
        <w:pStyle w:val="NoSpacing"/>
        <w:spacing w:line="360" w:lineRule="auto"/>
        <w:ind w:left="720"/>
        <w:jc w:val="both"/>
        <w:rPr>
          <w:rFonts w:ascii="Arial" w:hAnsi="Arial" w:cs="Arial"/>
          <w:sz w:val="24"/>
          <w:szCs w:val="24"/>
        </w:rPr>
      </w:pPr>
      <w:r w:rsidRPr="00A64B9D">
        <w:rPr>
          <w:rFonts w:ascii="Arial" w:hAnsi="Arial" w:cs="Arial"/>
          <w:sz w:val="24"/>
          <w:szCs w:val="24"/>
        </w:rPr>
        <w:t xml:space="preserve">As shown in the above table, the actual Gross ARR is </w:t>
      </w:r>
      <w:r w:rsidRPr="00A64B9D">
        <w:rPr>
          <w:rFonts w:ascii="Arial" w:hAnsi="Arial" w:cs="Arial"/>
          <w:b/>
          <w:sz w:val="24"/>
          <w:szCs w:val="24"/>
        </w:rPr>
        <w:t>Rs 7405 Crs.</w:t>
      </w:r>
      <w:r w:rsidRPr="00A64B9D">
        <w:rPr>
          <w:rFonts w:ascii="Arial" w:hAnsi="Arial" w:cs="Arial"/>
          <w:sz w:val="24"/>
          <w:szCs w:val="24"/>
        </w:rPr>
        <w:t xml:space="preserve"> as against TSERC approved ARR of </w:t>
      </w:r>
      <w:r w:rsidRPr="00A64B9D">
        <w:rPr>
          <w:rFonts w:ascii="Arial" w:hAnsi="Arial" w:cs="Arial"/>
          <w:b/>
          <w:sz w:val="24"/>
          <w:szCs w:val="24"/>
        </w:rPr>
        <w:t xml:space="preserve">Rs. 7837 Crs. </w:t>
      </w:r>
    </w:p>
    <w:p w:rsidR="00B70F88" w:rsidRPr="00A64B9D" w:rsidRDefault="00B70F88" w:rsidP="00B70F88">
      <w:pPr>
        <w:pStyle w:val="Heading4"/>
        <w:rPr>
          <w:rFonts w:cs="Arial"/>
          <w:sz w:val="24"/>
          <w:szCs w:val="24"/>
        </w:rPr>
      </w:pPr>
      <w:r w:rsidRPr="00A64B9D">
        <w:rPr>
          <w:rFonts w:cs="Arial"/>
          <w:sz w:val="24"/>
          <w:szCs w:val="24"/>
        </w:rPr>
        <w:t>Operation &amp; Maintenance (O&amp;M) Expenses</w:t>
      </w:r>
    </w:p>
    <w:p w:rsidR="00B70F88" w:rsidRPr="00A64B9D" w:rsidRDefault="00B70F88" w:rsidP="00B70F88">
      <w:pPr>
        <w:pStyle w:val="ListParagraph"/>
        <w:tabs>
          <w:tab w:val="left" w:pos="1350"/>
        </w:tabs>
        <w:spacing w:after="200" w:line="360" w:lineRule="auto"/>
        <w:jc w:val="both"/>
        <w:rPr>
          <w:rFonts w:ascii="Arial" w:hAnsi="Arial" w:cs="Arial"/>
          <w:sz w:val="24"/>
          <w:szCs w:val="24"/>
        </w:rPr>
      </w:pPr>
      <w:r w:rsidRPr="00A64B9D">
        <w:rPr>
          <w:rFonts w:ascii="Arial" w:hAnsi="Arial" w:cs="Arial"/>
          <w:sz w:val="24"/>
          <w:szCs w:val="24"/>
        </w:rPr>
        <w:t xml:space="preserve"> TSNPDCL’s actual O&amp;M Expenses for the Third MYT Control period is </w:t>
      </w:r>
      <w:r w:rsidRPr="00A64B9D">
        <w:rPr>
          <w:rFonts w:ascii="Arial" w:hAnsi="Arial" w:cs="Arial"/>
          <w:b/>
          <w:sz w:val="24"/>
          <w:szCs w:val="24"/>
        </w:rPr>
        <w:t>Rs 5276 Crs.</w:t>
      </w:r>
      <w:r w:rsidRPr="00A64B9D">
        <w:rPr>
          <w:rFonts w:ascii="Arial" w:hAnsi="Arial" w:cs="Arial"/>
          <w:sz w:val="24"/>
          <w:szCs w:val="24"/>
        </w:rPr>
        <w:t xml:space="preserve"> as against the Hon’ble Commission approved expenses of </w:t>
      </w:r>
      <w:r w:rsidRPr="00A64B9D">
        <w:rPr>
          <w:rFonts w:ascii="Arial" w:hAnsi="Arial" w:cs="Arial"/>
          <w:b/>
          <w:sz w:val="24"/>
          <w:szCs w:val="24"/>
        </w:rPr>
        <w:t>Rs. 447</w:t>
      </w:r>
      <w:r w:rsidRPr="00122D19">
        <w:rPr>
          <w:rFonts w:ascii="Arial" w:hAnsi="Arial" w:cs="Arial"/>
          <w:b/>
          <w:color w:val="FF0000"/>
          <w:sz w:val="24"/>
          <w:szCs w:val="24"/>
        </w:rPr>
        <w:t>2</w:t>
      </w:r>
      <w:r w:rsidRPr="00A64B9D">
        <w:rPr>
          <w:rFonts w:ascii="Arial" w:hAnsi="Arial" w:cs="Arial"/>
          <w:b/>
          <w:sz w:val="24"/>
          <w:szCs w:val="24"/>
        </w:rPr>
        <w:t xml:space="preserve"> Crs.</w:t>
      </w:r>
      <w:r w:rsidRPr="00A64B9D">
        <w:rPr>
          <w:rFonts w:ascii="Arial" w:hAnsi="Arial" w:cs="Arial"/>
          <w:sz w:val="24"/>
          <w:szCs w:val="24"/>
        </w:rPr>
        <w:t xml:space="preserve"> resulting in a deviation of </w:t>
      </w:r>
      <w:r w:rsidRPr="00A64B9D">
        <w:rPr>
          <w:rFonts w:ascii="Arial" w:hAnsi="Arial" w:cs="Arial"/>
          <w:b/>
          <w:sz w:val="24"/>
          <w:szCs w:val="24"/>
        </w:rPr>
        <w:t>Rs 805 Crs</w:t>
      </w:r>
      <w:r w:rsidRPr="00A64B9D">
        <w:rPr>
          <w:rFonts w:ascii="Arial" w:hAnsi="Arial" w:cs="Arial"/>
          <w:sz w:val="24"/>
          <w:szCs w:val="24"/>
        </w:rPr>
        <w:t>. Summary of Operation &amp; Maintenance (O&amp;M) Expenses for FY 2014-15 to FY 2018-19 is as shown  below.</w:t>
      </w:r>
    </w:p>
    <w:p w:rsidR="00B70F88" w:rsidRPr="00A64B9D" w:rsidRDefault="00B70F88" w:rsidP="00B70F88">
      <w:pPr>
        <w:pStyle w:val="ListParagraph"/>
        <w:tabs>
          <w:tab w:val="left" w:pos="1350"/>
        </w:tabs>
        <w:spacing w:after="200"/>
        <w:jc w:val="right"/>
        <w:rPr>
          <w:rFonts w:ascii="Arial" w:hAnsi="Arial" w:cs="Arial"/>
          <w:b/>
          <w:sz w:val="24"/>
          <w:szCs w:val="24"/>
        </w:rPr>
      </w:pPr>
      <w:r w:rsidRPr="00A64B9D">
        <w:rPr>
          <w:rFonts w:ascii="Arial" w:hAnsi="Arial" w:cs="Arial"/>
          <w:b/>
          <w:sz w:val="24"/>
          <w:szCs w:val="24"/>
        </w:rPr>
        <w:t>Rs. In Crores</w:t>
      </w:r>
    </w:p>
    <w:p w:rsidR="00B70F88" w:rsidRPr="00A64B9D" w:rsidRDefault="00B70F88" w:rsidP="00B70F88">
      <w:pPr>
        <w:pStyle w:val="ListParagraph"/>
        <w:tabs>
          <w:tab w:val="left" w:pos="1350"/>
        </w:tabs>
        <w:spacing w:after="200" w:line="360" w:lineRule="auto"/>
        <w:ind w:left="0"/>
        <w:jc w:val="both"/>
        <w:rPr>
          <w:rFonts w:ascii="Arial" w:hAnsi="Arial" w:cs="Arial"/>
          <w:sz w:val="24"/>
          <w:szCs w:val="24"/>
          <w:highlight w:val="yellow"/>
        </w:rPr>
      </w:pPr>
      <w:r>
        <w:rPr>
          <w:rFonts w:ascii="Arial" w:hAnsi="Arial" w:cs="Arial"/>
          <w:noProof/>
          <w:sz w:val="24"/>
          <w:szCs w:val="24"/>
          <w:lang w:val="en-US"/>
        </w:rPr>
        <w:drawing>
          <wp:inline distT="0" distB="0" distL="0" distR="0">
            <wp:extent cx="6667500" cy="176212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6667500" cy="1762125"/>
                    </a:xfrm>
                    <a:prstGeom prst="rect">
                      <a:avLst/>
                    </a:prstGeom>
                    <a:noFill/>
                    <a:ln w="9525">
                      <a:noFill/>
                      <a:miter lim="800000"/>
                      <a:headEnd/>
                      <a:tailEnd/>
                    </a:ln>
                  </pic:spPr>
                </pic:pic>
              </a:graphicData>
            </a:graphic>
          </wp:inline>
        </w:drawing>
      </w:r>
      <w:r w:rsidRPr="00A64B9D">
        <w:rPr>
          <w:rFonts w:ascii="Arial" w:hAnsi="Arial" w:cs="Arial"/>
          <w:sz w:val="24"/>
          <w:szCs w:val="24"/>
        </w:rPr>
        <w:t xml:space="preserve">                 </w:t>
      </w:r>
      <w:r w:rsidRPr="00A64B9D">
        <w:rPr>
          <w:rFonts w:ascii="Arial" w:hAnsi="Arial" w:cs="Arial"/>
          <w:sz w:val="24"/>
          <w:szCs w:val="24"/>
          <w:highlight w:val="yellow"/>
        </w:rPr>
        <w:t xml:space="preserve">                    </w:t>
      </w:r>
    </w:p>
    <w:p w:rsidR="00B70F88" w:rsidRPr="00A64B9D" w:rsidRDefault="00B70F88" w:rsidP="00B70F88">
      <w:pPr>
        <w:pStyle w:val="ListParagraph"/>
        <w:spacing w:after="200" w:line="360" w:lineRule="auto"/>
        <w:ind w:left="0" w:firstLine="630"/>
        <w:jc w:val="both"/>
        <w:rPr>
          <w:rFonts w:ascii="Arial" w:hAnsi="Arial" w:cs="Arial"/>
          <w:b/>
          <w:sz w:val="24"/>
          <w:szCs w:val="24"/>
          <w:u w:val="single"/>
        </w:rPr>
      </w:pPr>
      <w:r w:rsidRPr="00A64B9D">
        <w:rPr>
          <w:rFonts w:ascii="Arial" w:hAnsi="Arial" w:cs="Arial"/>
          <w:b/>
          <w:sz w:val="24"/>
          <w:szCs w:val="24"/>
          <w:u w:val="single"/>
        </w:rPr>
        <w:t>Reasons for deviations in O&amp;M Expenses</w:t>
      </w:r>
    </w:p>
    <w:p w:rsidR="00B70F88" w:rsidRPr="00A64B9D" w:rsidRDefault="00B70F88" w:rsidP="00B70F88">
      <w:pPr>
        <w:spacing w:line="360" w:lineRule="auto"/>
        <w:ind w:left="630"/>
        <w:jc w:val="both"/>
        <w:rPr>
          <w:rFonts w:ascii="Arial" w:hAnsi="Arial" w:cs="Arial"/>
          <w:sz w:val="24"/>
          <w:szCs w:val="24"/>
        </w:rPr>
      </w:pPr>
      <w:r w:rsidRPr="00A64B9D">
        <w:rPr>
          <w:rFonts w:ascii="Arial" w:hAnsi="Arial" w:cs="Arial"/>
          <w:sz w:val="24"/>
          <w:szCs w:val="24"/>
        </w:rPr>
        <w:t xml:space="preserve">From the above table, it is observed that the O&amp;M expenses for the FY 2014-15, FY 2015-16, FY 2016-17 and FY 2018-19 are higher than the approved values of the Hon’ble Commission by Rs.263 Crs., Rs. 133 Crs. Rs. 30 Crs. and Rs. 579 Crs. respectively.  </w:t>
      </w:r>
    </w:p>
    <w:p w:rsidR="00B70F88" w:rsidRDefault="00B70F88" w:rsidP="00B70F88">
      <w:pPr>
        <w:spacing w:line="360" w:lineRule="auto"/>
        <w:ind w:left="630"/>
        <w:contextualSpacing/>
        <w:jc w:val="both"/>
        <w:rPr>
          <w:rFonts w:ascii="Arial" w:hAnsi="Arial" w:cs="Arial"/>
          <w:sz w:val="24"/>
          <w:szCs w:val="24"/>
        </w:rPr>
      </w:pPr>
      <w:r w:rsidRPr="00A64B9D">
        <w:rPr>
          <w:rFonts w:ascii="Arial" w:hAnsi="Arial" w:cs="Arial"/>
          <w:sz w:val="24"/>
          <w:szCs w:val="24"/>
        </w:rPr>
        <w:t>The increase in Employee expenses and A&amp;G expenses are commonly linked to inflation (Consumer Price Index) CPI and (Wholesale Price Index) WPI. Therefore, Employee Expenses have increased owing to inflation. Increase in CPI and WPI during the Second MYT Control Period are as depicted in the table below.</w:t>
      </w:r>
    </w:p>
    <w:p w:rsidR="00B70F88" w:rsidRDefault="00B70F88" w:rsidP="00B70F88">
      <w:pPr>
        <w:spacing w:line="360" w:lineRule="auto"/>
        <w:ind w:left="630"/>
        <w:contextualSpacing/>
        <w:jc w:val="both"/>
        <w:rPr>
          <w:rFonts w:ascii="Arial" w:hAnsi="Arial" w:cs="Arial"/>
          <w:sz w:val="24"/>
          <w:szCs w:val="24"/>
        </w:rPr>
      </w:pPr>
    </w:p>
    <w:p w:rsidR="00B70F88" w:rsidRDefault="00B70F88" w:rsidP="00B70F88">
      <w:pPr>
        <w:spacing w:line="360" w:lineRule="auto"/>
        <w:ind w:left="630"/>
        <w:contextualSpacing/>
        <w:jc w:val="both"/>
        <w:rPr>
          <w:rFonts w:ascii="Arial" w:hAnsi="Arial" w:cs="Arial"/>
          <w:sz w:val="24"/>
          <w:szCs w:val="24"/>
        </w:rPr>
      </w:pPr>
    </w:p>
    <w:tbl>
      <w:tblPr>
        <w:tblpPr w:leftFromText="180" w:rightFromText="180" w:vertAnchor="text" w:horzAnchor="margin" w:tblpXSpec="center" w:tblpY="113"/>
        <w:tblW w:w="48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2"/>
        <w:gridCol w:w="1577"/>
        <w:gridCol w:w="1391"/>
        <w:gridCol w:w="1391"/>
        <w:gridCol w:w="1393"/>
        <w:gridCol w:w="1390"/>
      </w:tblGrid>
      <w:tr w:rsidR="006226F4" w:rsidRPr="00A64B9D" w:rsidTr="006226F4">
        <w:trPr>
          <w:trHeight w:val="268"/>
          <w:tblHeader/>
        </w:trPr>
        <w:tc>
          <w:tcPr>
            <w:tcW w:w="1145" w:type="pct"/>
            <w:tcBorders>
              <w:bottom w:val="single" w:sz="8" w:space="0" w:color="auto"/>
            </w:tcBorders>
            <w:shd w:val="clear" w:color="auto" w:fill="17365D"/>
            <w:noWrap/>
            <w:vAlign w:val="center"/>
            <w:hideMark/>
          </w:tcPr>
          <w:p w:rsidR="006226F4" w:rsidRPr="00A45EA8" w:rsidRDefault="006226F4" w:rsidP="006226F4">
            <w:pPr>
              <w:spacing w:line="360" w:lineRule="auto"/>
              <w:jc w:val="center"/>
              <w:rPr>
                <w:rFonts w:ascii="Arial" w:hAnsi="Arial" w:cs="Arial"/>
                <w:b/>
                <w:bCs/>
                <w:color w:val="FFFFFF"/>
              </w:rPr>
            </w:pPr>
            <w:r w:rsidRPr="00A45EA8">
              <w:rPr>
                <w:rFonts w:ascii="Arial" w:hAnsi="Arial" w:cs="Arial"/>
                <w:b/>
                <w:bCs/>
                <w:color w:val="FFFFFF"/>
              </w:rPr>
              <w:t>Particulars</w:t>
            </w:r>
          </w:p>
        </w:tc>
        <w:tc>
          <w:tcPr>
            <w:tcW w:w="851" w:type="pct"/>
            <w:tcBorders>
              <w:bottom w:val="single" w:sz="8" w:space="0" w:color="auto"/>
            </w:tcBorders>
            <w:shd w:val="clear" w:color="auto" w:fill="17365D"/>
            <w:vAlign w:val="center"/>
            <w:hideMark/>
          </w:tcPr>
          <w:p w:rsidR="006226F4" w:rsidRPr="00A45EA8" w:rsidRDefault="006226F4" w:rsidP="006226F4">
            <w:pPr>
              <w:spacing w:line="360" w:lineRule="auto"/>
              <w:jc w:val="center"/>
              <w:rPr>
                <w:rFonts w:ascii="Arial" w:hAnsi="Arial" w:cs="Arial"/>
                <w:b/>
                <w:bCs/>
                <w:color w:val="FFFFFF"/>
              </w:rPr>
            </w:pPr>
            <w:r w:rsidRPr="00A45EA8">
              <w:rPr>
                <w:rFonts w:ascii="Arial" w:hAnsi="Arial" w:cs="Arial"/>
                <w:b/>
                <w:bCs/>
                <w:color w:val="FFFFFF"/>
              </w:rPr>
              <w:t>FY 2014-15</w:t>
            </w:r>
          </w:p>
        </w:tc>
        <w:tc>
          <w:tcPr>
            <w:tcW w:w="751" w:type="pct"/>
            <w:tcBorders>
              <w:bottom w:val="single" w:sz="8" w:space="0" w:color="auto"/>
            </w:tcBorders>
            <w:shd w:val="clear" w:color="auto" w:fill="17365D"/>
            <w:vAlign w:val="center"/>
            <w:hideMark/>
          </w:tcPr>
          <w:p w:rsidR="006226F4" w:rsidRPr="00A45EA8" w:rsidRDefault="006226F4" w:rsidP="006226F4">
            <w:pPr>
              <w:spacing w:line="360" w:lineRule="auto"/>
              <w:jc w:val="center"/>
              <w:rPr>
                <w:rFonts w:ascii="Arial" w:hAnsi="Arial" w:cs="Arial"/>
                <w:b/>
                <w:bCs/>
                <w:color w:val="FFFFFF"/>
              </w:rPr>
            </w:pPr>
            <w:r w:rsidRPr="00A45EA8">
              <w:rPr>
                <w:rFonts w:ascii="Arial" w:hAnsi="Arial" w:cs="Arial"/>
                <w:b/>
                <w:bCs/>
                <w:color w:val="FFFFFF"/>
              </w:rPr>
              <w:t>FY 2015-16</w:t>
            </w:r>
          </w:p>
        </w:tc>
        <w:tc>
          <w:tcPr>
            <w:tcW w:w="751" w:type="pct"/>
            <w:tcBorders>
              <w:bottom w:val="single" w:sz="8" w:space="0" w:color="auto"/>
            </w:tcBorders>
            <w:shd w:val="clear" w:color="auto" w:fill="17365D"/>
            <w:vAlign w:val="center"/>
            <w:hideMark/>
          </w:tcPr>
          <w:p w:rsidR="006226F4" w:rsidRPr="00A45EA8" w:rsidRDefault="006226F4" w:rsidP="006226F4">
            <w:pPr>
              <w:spacing w:line="360" w:lineRule="auto"/>
              <w:jc w:val="center"/>
              <w:rPr>
                <w:rFonts w:ascii="Arial" w:hAnsi="Arial" w:cs="Arial"/>
                <w:b/>
                <w:bCs/>
                <w:color w:val="FFFFFF"/>
              </w:rPr>
            </w:pPr>
            <w:r w:rsidRPr="00A45EA8">
              <w:rPr>
                <w:rFonts w:ascii="Arial" w:hAnsi="Arial" w:cs="Arial"/>
                <w:b/>
                <w:bCs/>
                <w:color w:val="FFFFFF"/>
              </w:rPr>
              <w:t>FY 2016-17</w:t>
            </w:r>
          </w:p>
        </w:tc>
        <w:tc>
          <w:tcPr>
            <w:tcW w:w="752" w:type="pct"/>
            <w:tcBorders>
              <w:bottom w:val="single" w:sz="8" w:space="0" w:color="auto"/>
            </w:tcBorders>
            <w:shd w:val="clear" w:color="auto" w:fill="17365D"/>
            <w:vAlign w:val="center"/>
            <w:hideMark/>
          </w:tcPr>
          <w:p w:rsidR="006226F4" w:rsidRPr="00A45EA8" w:rsidRDefault="006226F4" w:rsidP="006226F4">
            <w:pPr>
              <w:spacing w:line="360" w:lineRule="auto"/>
              <w:jc w:val="center"/>
              <w:rPr>
                <w:rFonts w:ascii="Arial" w:hAnsi="Arial" w:cs="Arial"/>
                <w:b/>
                <w:bCs/>
                <w:color w:val="FFFFFF"/>
              </w:rPr>
            </w:pPr>
            <w:r w:rsidRPr="00A45EA8">
              <w:rPr>
                <w:rFonts w:ascii="Arial" w:hAnsi="Arial" w:cs="Arial"/>
                <w:b/>
                <w:bCs/>
                <w:color w:val="FFFFFF"/>
              </w:rPr>
              <w:t>FY 2017-18</w:t>
            </w:r>
          </w:p>
        </w:tc>
        <w:tc>
          <w:tcPr>
            <w:tcW w:w="751" w:type="pct"/>
            <w:tcBorders>
              <w:bottom w:val="single" w:sz="8" w:space="0" w:color="auto"/>
            </w:tcBorders>
            <w:shd w:val="clear" w:color="auto" w:fill="17365D"/>
          </w:tcPr>
          <w:p w:rsidR="006226F4" w:rsidRPr="00A45EA8" w:rsidRDefault="006226F4" w:rsidP="006226F4">
            <w:pPr>
              <w:spacing w:line="360" w:lineRule="auto"/>
              <w:jc w:val="center"/>
              <w:rPr>
                <w:rFonts w:ascii="Arial" w:hAnsi="Arial" w:cs="Arial"/>
                <w:b/>
                <w:bCs/>
                <w:color w:val="FFFFFF"/>
              </w:rPr>
            </w:pPr>
            <w:r w:rsidRPr="00A45EA8">
              <w:rPr>
                <w:rFonts w:ascii="Arial" w:hAnsi="Arial" w:cs="Arial"/>
                <w:b/>
                <w:bCs/>
                <w:color w:val="FFFFFF"/>
              </w:rPr>
              <w:t>FY 2018-19</w:t>
            </w:r>
          </w:p>
        </w:tc>
      </w:tr>
      <w:tr w:rsidR="006226F4" w:rsidRPr="00A64B9D" w:rsidTr="006226F4">
        <w:trPr>
          <w:trHeight w:val="289"/>
        </w:trPr>
        <w:tc>
          <w:tcPr>
            <w:tcW w:w="1145" w:type="pct"/>
            <w:tcBorders>
              <w:top w:val="single" w:sz="8" w:space="0" w:color="auto"/>
            </w:tcBorders>
            <w:shd w:val="clear" w:color="auto" w:fill="auto"/>
            <w:noWrap/>
            <w:vAlign w:val="center"/>
            <w:hideMark/>
          </w:tcPr>
          <w:p w:rsidR="006226F4" w:rsidRPr="00A45EA8" w:rsidRDefault="006226F4" w:rsidP="006226F4">
            <w:pPr>
              <w:spacing w:line="360" w:lineRule="auto"/>
              <w:jc w:val="center"/>
              <w:rPr>
                <w:rFonts w:ascii="Arial" w:hAnsi="Arial" w:cs="Arial"/>
                <w:color w:val="000000"/>
              </w:rPr>
            </w:pPr>
            <w:r w:rsidRPr="00A45EA8">
              <w:rPr>
                <w:rFonts w:ascii="Arial" w:hAnsi="Arial" w:cs="Arial"/>
                <w:color w:val="000000"/>
              </w:rPr>
              <w:t>CPI (IW)</w:t>
            </w:r>
          </w:p>
        </w:tc>
        <w:tc>
          <w:tcPr>
            <w:tcW w:w="851" w:type="pct"/>
            <w:tcBorders>
              <w:top w:val="single" w:sz="8" w:space="0" w:color="auto"/>
            </w:tcBorders>
            <w:shd w:val="clear" w:color="auto" w:fill="auto"/>
            <w:noWrap/>
            <w:vAlign w:val="center"/>
            <w:hideMark/>
          </w:tcPr>
          <w:p w:rsidR="006226F4" w:rsidRPr="00A45EA8" w:rsidRDefault="006226F4" w:rsidP="006226F4">
            <w:pPr>
              <w:jc w:val="center"/>
              <w:rPr>
                <w:rFonts w:ascii="Arial" w:hAnsi="Arial" w:cs="Arial"/>
                <w:color w:val="000000"/>
              </w:rPr>
            </w:pPr>
            <w:r w:rsidRPr="00A45EA8">
              <w:rPr>
                <w:rFonts w:ascii="Arial" w:hAnsi="Arial" w:cs="Arial"/>
                <w:color w:val="000000"/>
              </w:rPr>
              <w:t>250.83</w:t>
            </w:r>
          </w:p>
        </w:tc>
        <w:tc>
          <w:tcPr>
            <w:tcW w:w="751" w:type="pct"/>
            <w:tcBorders>
              <w:top w:val="single" w:sz="8" w:space="0" w:color="auto"/>
            </w:tcBorders>
            <w:shd w:val="clear" w:color="auto" w:fill="auto"/>
            <w:noWrap/>
            <w:vAlign w:val="center"/>
            <w:hideMark/>
          </w:tcPr>
          <w:p w:rsidR="006226F4" w:rsidRPr="00A45EA8" w:rsidRDefault="006226F4" w:rsidP="006226F4">
            <w:pPr>
              <w:jc w:val="center"/>
              <w:rPr>
                <w:rFonts w:ascii="Arial" w:hAnsi="Arial" w:cs="Arial"/>
                <w:color w:val="000000"/>
              </w:rPr>
            </w:pPr>
            <w:r w:rsidRPr="00A45EA8">
              <w:rPr>
                <w:rFonts w:ascii="Arial" w:hAnsi="Arial" w:cs="Arial"/>
                <w:color w:val="000000"/>
              </w:rPr>
              <w:t>265.00</w:t>
            </w:r>
          </w:p>
        </w:tc>
        <w:tc>
          <w:tcPr>
            <w:tcW w:w="751" w:type="pct"/>
            <w:tcBorders>
              <w:top w:val="single" w:sz="8" w:space="0" w:color="auto"/>
            </w:tcBorders>
            <w:shd w:val="clear" w:color="auto" w:fill="auto"/>
            <w:noWrap/>
            <w:vAlign w:val="center"/>
            <w:hideMark/>
          </w:tcPr>
          <w:p w:rsidR="006226F4" w:rsidRPr="00A45EA8" w:rsidRDefault="006226F4" w:rsidP="006226F4">
            <w:pPr>
              <w:jc w:val="center"/>
              <w:rPr>
                <w:rFonts w:ascii="Arial" w:hAnsi="Arial" w:cs="Arial"/>
                <w:color w:val="000000"/>
              </w:rPr>
            </w:pPr>
            <w:r w:rsidRPr="00A45EA8">
              <w:rPr>
                <w:rFonts w:ascii="Arial" w:hAnsi="Arial" w:cs="Arial"/>
                <w:color w:val="000000"/>
              </w:rPr>
              <w:t>275.92</w:t>
            </w:r>
          </w:p>
        </w:tc>
        <w:tc>
          <w:tcPr>
            <w:tcW w:w="752" w:type="pct"/>
            <w:tcBorders>
              <w:top w:val="single" w:sz="8" w:space="0" w:color="auto"/>
            </w:tcBorders>
            <w:shd w:val="clear" w:color="auto" w:fill="auto"/>
            <w:noWrap/>
            <w:vAlign w:val="center"/>
            <w:hideMark/>
          </w:tcPr>
          <w:p w:rsidR="006226F4" w:rsidRPr="00A45EA8" w:rsidRDefault="006226F4" w:rsidP="006226F4">
            <w:pPr>
              <w:jc w:val="center"/>
              <w:rPr>
                <w:rFonts w:ascii="Arial" w:hAnsi="Arial" w:cs="Arial"/>
                <w:color w:val="000000"/>
              </w:rPr>
            </w:pPr>
            <w:r w:rsidRPr="00A45EA8">
              <w:rPr>
                <w:rFonts w:ascii="Arial" w:hAnsi="Arial" w:cs="Arial"/>
                <w:color w:val="000000"/>
              </w:rPr>
              <w:t>284.42</w:t>
            </w:r>
          </w:p>
        </w:tc>
        <w:tc>
          <w:tcPr>
            <w:tcW w:w="751" w:type="pct"/>
            <w:tcBorders>
              <w:top w:val="single" w:sz="8" w:space="0" w:color="auto"/>
            </w:tcBorders>
          </w:tcPr>
          <w:p w:rsidR="006226F4" w:rsidRPr="00A45EA8" w:rsidRDefault="006226F4" w:rsidP="006226F4">
            <w:pPr>
              <w:jc w:val="center"/>
              <w:rPr>
                <w:rFonts w:ascii="Arial" w:hAnsi="Arial" w:cs="Arial"/>
                <w:color w:val="000000"/>
              </w:rPr>
            </w:pPr>
            <w:r w:rsidRPr="00A45EA8">
              <w:rPr>
                <w:rFonts w:ascii="Arial" w:hAnsi="Arial" w:cs="Arial"/>
                <w:color w:val="000000"/>
              </w:rPr>
              <w:t>299.99</w:t>
            </w:r>
          </w:p>
        </w:tc>
      </w:tr>
      <w:tr w:rsidR="006226F4" w:rsidRPr="00A64B9D" w:rsidTr="006226F4">
        <w:trPr>
          <w:trHeight w:val="268"/>
        </w:trPr>
        <w:tc>
          <w:tcPr>
            <w:tcW w:w="1145" w:type="pct"/>
            <w:shd w:val="clear" w:color="auto" w:fill="D9D9D9"/>
            <w:noWrap/>
            <w:vAlign w:val="center"/>
            <w:hideMark/>
          </w:tcPr>
          <w:p w:rsidR="006226F4" w:rsidRPr="00A45EA8" w:rsidRDefault="006226F4" w:rsidP="006226F4">
            <w:pPr>
              <w:spacing w:line="360" w:lineRule="auto"/>
              <w:jc w:val="center"/>
              <w:rPr>
                <w:rFonts w:ascii="Arial" w:hAnsi="Arial" w:cs="Arial"/>
                <w:color w:val="000000"/>
              </w:rPr>
            </w:pPr>
            <w:r w:rsidRPr="00A45EA8">
              <w:rPr>
                <w:rFonts w:ascii="Arial" w:hAnsi="Arial" w:cs="Arial"/>
                <w:color w:val="000000"/>
              </w:rPr>
              <w:t>% Increase in CPI</w:t>
            </w:r>
          </w:p>
        </w:tc>
        <w:tc>
          <w:tcPr>
            <w:tcW w:w="851" w:type="pct"/>
            <w:shd w:val="clear" w:color="auto" w:fill="D9D9D9"/>
            <w:noWrap/>
            <w:vAlign w:val="center"/>
            <w:hideMark/>
          </w:tcPr>
          <w:p w:rsidR="006226F4" w:rsidRPr="00A45EA8" w:rsidRDefault="006226F4" w:rsidP="006226F4">
            <w:pPr>
              <w:jc w:val="center"/>
              <w:rPr>
                <w:rFonts w:ascii="Arial" w:hAnsi="Arial" w:cs="Arial"/>
                <w:color w:val="000000"/>
              </w:rPr>
            </w:pPr>
            <w:r w:rsidRPr="00A45EA8">
              <w:rPr>
                <w:rFonts w:ascii="Arial" w:hAnsi="Arial" w:cs="Arial"/>
                <w:color w:val="000000"/>
              </w:rPr>
              <w:t>6.29</w:t>
            </w:r>
          </w:p>
        </w:tc>
        <w:tc>
          <w:tcPr>
            <w:tcW w:w="751" w:type="pct"/>
            <w:shd w:val="clear" w:color="auto" w:fill="D9D9D9"/>
            <w:noWrap/>
            <w:vAlign w:val="center"/>
            <w:hideMark/>
          </w:tcPr>
          <w:p w:rsidR="006226F4" w:rsidRPr="00A45EA8" w:rsidRDefault="006226F4" w:rsidP="006226F4">
            <w:pPr>
              <w:jc w:val="center"/>
              <w:rPr>
                <w:rFonts w:ascii="Arial" w:hAnsi="Arial" w:cs="Arial"/>
                <w:color w:val="000000"/>
              </w:rPr>
            </w:pPr>
            <w:r w:rsidRPr="00A45EA8">
              <w:rPr>
                <w:rFonts w:ascii="Arial" w:hAnsi="Arial" w:cs="Arial"/>
                <w:color w:val="000000"/>
              </w:rPr>
              <w:t>5.65</w:t>
            </w:r>
          </w:p>
        </w:tc>
        <w:tc>
          <w:tcPr>
            <w:tcW w:w="751" w:type="pct"/>
            <w:shd w:val="clear" w:color="auto" w:fill="D9D9D9"/>
            <w:noWrap/>
            <w:vAlign w:val="center"/>
            <w:hideMark/>
          </w:tcPr>
          <w:p w:rsidR="006226F4" w:rsidRPr="00A45EA8" w:rsidRDefault="006226F4" w:rsidP="006226F4">
            <w:pPr>
              <w:jc w:val="center"/>
              <w:rPr>
                <w:rFonts w:ascii="Arial" w:hAnsi="Arial" w:cs="Arial"/>
                <w:color w:val="000000"/>
              </w:rPr>
            </w:pPr>
            <w:r w:rsidRPr="00A45EA8">
              <w:rPr>
                <w:rFonts w:ascii="Arial" w:hAnsi="Arial" w:cs="Arial"/>
                <w:color w:val="000000"/>
              </w:rPr>
              <w:t>4.12</w:t>
            </w:r>
          </w:p>
        </w:tc>
        <w:tc>
          <w:tcPr>
            <w:tcW w:w="752" w:type="pct"/>
            <w:shd w:val="clear" w:color="auto" w:fill="D9D9D9"/>
            <w:noWrap/>
            <w:vAlign w:val="center"/>
            <w:hideMark/>
          </w:tcPr>
          <w:p w:rsidR="006226F4" w:rsidRPr="00A45EA8" w:rsidRDefault="006226F4" w:rsidP="006226F4">
            <w:pPr>
              <w:jc w:val="center"/>
              <w:rPr>
                <w:rFonts w:ascii="Arial" w:hAnsi="Arial" w:cs="Arial"/>
                <w:color w:val="000000"/>
              </w:rPr>
            </w:pPr>
            <w:r w:rsidRPr="00A45EA8">
              <w:rPr>
                <w:rFonts w:ascii="Arial" w:hAnsi="Arial" w:cs="Arial"/>
                <w:color w:val="000000"/>
              </w:rPr>
              <w:t>3.08</w:t>
            </w:r>
          </w:p>
        </w:tc>
        <w:tc>
          <w:tcPr>
            <w:tcW w:w="751" w:type="pct"/>
            <w:shd w:val="clear" w:color="auto" w:fill="D9D9D9"/>
          </w:tcPr>
          <w:p w:rsidR="006226F4" w:rsidRPr="00A45EA8" w:rsidRDefault="006226F4" w:rsidP="006226F4">
            <w:pPr>
              <w:jc w:val="center"/>
              <w:rPr>
                <w:rFonts w:ascii="Arial" w:hAnsi="Arial" w:cs="Arial"/>
                <w:color w:val="000000"/>
              </w:rPr>
            </w:pPr>
            <w:r w:rsidRPr="00A45EA8">
              <w:rPr>
                <w:rFonts w:ascii="Arial" w:hAnsi="Arial" w:cs="Arial"/>
                <w:color w:val="000000"/>
              </w:rPr>
              <w:t>5.45</w:t>
            </w:r>
          </w:p>
        </w:tc>
      </w:tr>
      <w:tr w:rsidR="006226F4" w:rsidRPr="00A64B9D" w:rsidTr="006226F4">
        <w:trPr>
          <w:trHeight w:val="268"/>
        </w:trPr>
        <w:tc>
          <w:tcPr>
            <w:tcW w:w="1145" w:type="pct"/>
            <w:shd w:val="clear" w:color="auto" w:fill="auto"/>
            <w:noWrap/>
            <w:vAlign w:val="center"/>
            <w:hideMark/>
          </w:tcPr>
          <w:p w:rsidR="006226F4" w:rsidRPr="00A45EA8" w:rsidRDefault="006226F4" w:rsidP="006226F4">
            <w:pPr>
              <w:spacing w:line="360" w:lineRule="auto"/>
              <w:jc w:val="center"/>
              <w:rPr>
                <w:rFonts w:ascii="Arial" w:hAnsi="Arial" w:cs="Arial"/>
                <w:color w:val="000000"/>
              </w:rPr>
            </w:pPr>
            <w:r w:rsidRPr="00A45EA8">
              <w:rPr>
                <w:rFonts w:ascii="Arial" w:hAnsi="Arial" w:cs="Arial"/>
                <w:color w:val="000000"/>
              </w:rPr>
              <w:t>WPI</w:t>
            </w:r>
          </w:p>
        </w:tc>
        <w:tc>
          <w:tcPr>
            <w:tcW w:w="851" w:type="pct"/>
            <w:shd w:val="clear" w:color="000000" w:fill="FFFFFF"/>
            <w:noWrap/>
            <w:vAlign w:val="center"/>
            <w:hideMark/>
          </w:tcPr>
          <w:p w:rsidR="006226F4" w:rsidRPr="00A45EA8" w:rsidRDefault="006226F4" w:rsidP="006226F4">
            <w:pPr>
              <w:jc w:val="center"/>
              <w:rPr>
                <w:rFonts w:ascii="Arial" w:hAnsi="Arial" w:cs="Arial"/>
                <w:color w:val="000000"/>
              </w:rPr>
            </w:pPr>
            <w:r w:rsidRPr="00A45EA8">
              <w:rPr>
                <w:rFonts w:ascii="Arial" w:hAnsi="Arial" w:cs="Arial"/>
                <w:color w:val="000000"/>
              </w:rPr>
              <w:t>113.88</w:t>
            </w:r>
          </w:p>
        </w:tc>
        <w:tc>
          <w:tcPr>
            <w:tcW w:w="751" w:type="pct"/>
            <w:shd w:val="clear" w:color="000000" w:fill="FFFFFF"/>
            <w:noWrap/>
            <w:vAlign w:val="center"/>
            <w:hideMark/>
          </w:tcPr>
          <w:p w:rsidR="006226F4" w:rsidRPr="00A45EA8" w:rsidRDefault="006226F4" w:rsidP="006226F4">
            <w:pPr>
              <w:jc w:val="center"/>
              <w:rPr>
                <w:rFonts w:ascii="Arial" w:hAnsi="Arial" w:cs="Arial"/>
                <w:color w:val="000000"/>
              </w:rPr>
            </w:pPr>
            <w:r w:rsidRPr="00A45EA8">
              <w:rPr>
                <w:rFonts w:ascii="Arial" w:hAnsi="Arial" w:cs="Arial"/>
                <w:color w:val="000000"/>
              </w:rPr>
              <w:t>109.72</w:t>
            </w:r>
          </w:p>
        </w:tc>
        <w:tc>
          <w:tcPr>
            <w:tcW w:w="751" w:type="pct"/>
            <w:shd w:val="clear" w:color="000000" w:fill="FFFFFF"/>
            <w:noWrap/>
            <w:vAlign w:val="center"/>
            <w:hideMark/>
          </w:tcPr>
          <w:p w:rsidR="006226F4" w:rsidRPr="00A45EA8" w:rsidRDefault="006226F4" w:rsidP="006226F4">
            <w:pPr>
              <w:jc w:val="center"/>
              <w:rPr>
                <w:rFonts w:ascii="Arial" w:hAnsi="Arial" w:cs="Arial"/>
                <w:color w:val="000000"/>
              </w:rPr>
            </w:pPr>
            <w:r w:rsidRPr="00A45EA8">
              <w:rPr>
                <w:rFonts w:ascii="Arial" w:hAnsi="Arial" w:cs="Arial"/>
                <w:color w:val="000000"/>
              </w:rPr>
              <w:t>111.62</w:t>
            </w:r>
          </w:p>
        </w:tc>
        <w:tc>
          <w:tcPr>
            <w:tcW w:w="752" w:type="pct"/>
            <w:shd w:val="clear" w:color="auto" w:fill="auto"/>
            <w:noWrap/>
            <w:vAlign w:val="center"/>
            <w:hideMark/>
          </w:tcPr>
          <w:p w:rsidR="006226F4" w:rsidRPr="00A45EA8" w:rsidRDefault="006226F4" w:rsidP="006226F4">
            <w:pPr>
              <w:jc w:val="center"/>
              <w:rPr>
                <w:rFonts w:ascii="Arial" w:hAnsi="Arial" w:cs="Arial"/>
                <w:color w:val="000000"/>
              </w:rPr>
            </w:pPr>
            <w:r w:rsidRPr="00A45EA8">
              <w:rPr>
                <w:rFonts w:ascii="Arial" w:hAnsi="Arial" w:cs="Arial"/>
                <w:color w:val="000000"/>
              </w:rPr>
              <w:t>114.88</w:t>
            </w:r>
          </w:p>
        </w:tc>
        <w:tc>
          <w:tcPr>
            <w:tcW w:w="751" w:type="pct"/>
          </w:tcPr>
          <w:p w:rsidR="006226F4" w:rsidRPr="00A45EA8" w:rsidRDefault="006226F4" w:rsidP="006226F4">
            <w:pPr>
              <w:jc w:val="center"/>
              <w:rPr>
                <w:rFonts w:ascii="Arial" w:hAnsi="Arial" w:cs="Arial"/>
                <w:color w:val="000000"/>
              </w:rPr>
            </w:pPr>
            <w:r w:rsidRPr="00A45EA8">
              <w:rPr>
                <w:rFonts w:ascii="Arial" w:hAnsi="Arial" w:cs="Arial"/>
                <w:color w:val="000000"/>
              </w:rPr>
              <w:t>119.80</w:t>
            </w:r>
          </w:p>
        </w:tc>
      </w:tr>
      <w:tr w:rsidR="006226F4" w:rsidRPr="00A64B9D" w:rsidTr="006226F4">
        <w:trPr>
          <w:trHeight w:val="268"/>
        </w:trPr>
        <w:tc>
          <w:tcPr>
            <w:tcW w:w="1145" w:type="pct"/>
            <w:shd w:val="clear" w:color="auto" w:fill="D9D9D9"/>
            <w:noWrap/>
            <w:vAlign w:val="center"/>
            <w:hideMark/>
          </w:tcPr>
          <w:p w:rsidR="006226F4" w:rsidRPr="00A45EA8" w:rsidRDefault="006226F4" w:rsidP="006226F4">
            <w:pPr>
              <w:spacing w:line="360" w:lineRule="auto"/>
              <w:jc w:val="center"/>
              <w:rPr>
                <w:rFonts w:ascii="Arial" w:hAnsi="Arial" w:cs="Arial"/>
                <w:color w:val="000000"/>
              </w:rPr>
            </w:pPr>
            <w:r w:rsidRPr="00A45EA8">
              <w:rPr>
                <w:rFonts w:ascii="Arial" w:hAnsi="Arial" w:cs="Arial"/>
                <w:color w:val="000000"/>
              </w:rPr>
              <w:t>% Increase in WPI</w:t>
            </w:r>
          </w:p>
        </w:tc>
        <w:tc>
          <w:tcPr>
            <w:tcW w:w="851" w:type="pct"/>
            <w:shd w:val="clear" w:color="auto" w:fill="D9D9D9"/>
            <w:noWrap/>
            <w:vAlign w:val="center"/>
            <w:hideMark/>
          </w:tcPr>
          <w:p w:rsidR="006226F4" w:rsidRPr="00A45EA8" w:rsidRDefault="006226F4" w:rsidP="006226F4">
            <w:pPr>
              <w:jc w:val="center"/>
              <w:rPr>
                <w:rFonts w:ascii="Arial" w:hAnsi="Arial" w:cs="Arial"/>
                <w:color w:val="000000"/>
              </w:rPr>
            </w:pPr>
            <w:r w:rsidRPr="00A45EA8">
              <w:rPr>
                <w:rFonts w:ascii="Arial" w:hAnsi="Arial" w:cs="Arial"/>
                <w:color w:val="000000"/>
              </w:rPr>
              <w:t>1.26</w:t>
            </w:r>
          </w:p>
        </w:tc>
        <w:tc>
          <w:tcPr>
            <w:tcW w:w="751" w:type="pct"/>
            <w:shd w:val="clear" w:color="auto" w:fill="D9D9D9"/>
            <w:noWrap/>
            <w:vAlign w:val="center"/>
            <w:hideMark/>
          </w:tcPr>
          <w:p w:rsidR="006226F4" w:rsidRPr="00A45EA8" w:rsidRDefault="006226F4" w:rsidP="006226F4">
            <w:pPr>
              <w:jc w:val="center"/>
              <w:rPr>
                <w:rFonts w:ascii="Arial" w:hAnsi="Arial" w:cs="Arial"/>
                <w:color w:val="000000"/>
              </w:rPr>
            </w:pPr>
            <w:r w:rsidRPr="00A45EA8">
              <w:rPr>
                <w:rFonts w:ascii="Arial" w:hAnsi="Arial" w:cs="Arial"/>
                <w:color w:val="000000"/>
              </w:rPr>
              <w:t>(3.65)</w:t>
            </w:r>
          </w:p>
        </w:tc>
        <w:tc>
          <w:tcPr>
            <w:tcW w:w="751" w:type="pct"/>
            <w:shd w:val="clear" w:color="auto" w:fill="D9D9D9"/>
            <w:noWrap/>
            <w:vAlign w:val="center"/>
            <w:hideMark/>
          </w:tcPr>
          <w:p w:rsidR="006226F4" w:rsidRPr="00A45EA8" w:rsidRDefault="006226F4" w:rsidP="006226F4">
            <w:pPr>
              <w:jc w:val="center"/>
              <w:rPr>
                <w:rFonts w:ascii="Arial" w:hAnsi="Arial" w:cs="Arial"/>
                <w:color w:val="000000"/>
              </w:rPr>
            </w:pPr>
            <w:r w:rsidRPr="00A45EA8">
              <w:rPr>
                <w:rFonts w:ascii="Arial" w:hAnsi="Arial" w:cs="Arial"/>
                <w:color w:val="000000"/>
              </w:rPr>
              <w:t>1.73</w:t>
            </w:r>
          </w:p>
        </w:tc>
        <w:tc>
          <w:tcPr>
            <w:tcW w:w="752" w:type="pct"/>
            <w:shd w:val="clear" w:color="auto" w:fill="D9D9D9"/>
            <w:noWrap/>
            <w:vAlign w:val="center"/>
            <w:hideMark/>
          </w:tcPr>
          <w:p w:rsidR="006226F4" w:rsidRPr="00A45EA8" w:rsidRDefault="006226F4" w:rsidP="006226F4">
            <w:pPr>
              <w:jc w:val="center"/>
              <w:rPr>
                <w:rFonts w:ascii="Arial" w:hAnsi="Arial" w:cs="Arial"/>
                <w:color w:val="000000"/>
              </w:rPr>
            </w:pPr>
            <w:r w:rsidRPr="00A45EA8">
              <w:rPr>
                <w:rFonts w:ascii="Arial" w:hAnsi="Arial" w:cs="Arial"/>
                <w:color w:val="000000"/>
              </w:rPr>
              <w:t>2.92</w:t>
            </w:r>
          </w:p>
        </w:tc>
        <w:tc>
          <w:tcPr>
            <w:tcW w:w="751" w:type="pct"/>
            <w:shd w:val="clear" w:color="auto" w:fill="D9D9D9"/>
          </w:tcPr>
          <w:p w:rsidR="006226F4" w:rsidRPr="00A45EA8" w:rsidRDefault="006226F4" w:rsidP="006226F4">
            <w:pPr>
              <w:jc w:val="center"/>
              <w:rPr>
                <w:rFonts w:ascii="Arial" w:hAnsi="Arial" w:cs="Arial"/>
                <w:color w:val="000000"/>
              </w:rPr>
            </w:pPr>
            <w:r w:rsidRPr="00A45EA8">
              <w:rPr>
                <w:rFonts w:ascii="Arial" w:hAnsi="Arial" w:cs="Arial"/>
                <w:color w:val="000000"/>
              </w:rPr>
              <w:t>4.26</w:t>
            </w:r>
          </w:p>
        </w:tc>
      </w:tr>
    </w:tbl>
    <w:p w:rsidR="00B70F88" w:rsidRPr="00A64B9D" w:rsidRDefault="00B70F88" w:rsidP="00B70F88">
      <w:pPr>
        <w:spacing w:line="360" w:lineRule="auto"/>
        <w:ind w:left="630"/>
        <w:contextualSpacing/>
        <w:jc w:val="both"/>
        <w:rPr>
          <w:rFonts w:ascii="Arial" w:hAnsi="Arial" w:cs="Arial"/>
          <w:b/>
          <w:color w:val="FF0000"/>
          <w:sz w:val="24"/>
          <w:szCs w:val="24"/>
        </w:rPr>
      </w:pPr>
    </w:p>
    <w:p w:rsidR="00B70F88" w:rsidRPr="00A64B9D" w:rsidRDefault="00B70F88" w:rsidP="00B70F88">
      <w:pPr>
        <w:spacing w:line="360" w:lineRule="auto"/>
        <w:ind w:left="1035"/>
        <w:rPr>
          <w:rFonts w:ascii="Arial" w:hAnsi="Arial" w:cs="Arial"/>
          <w:sz w:val="24"/>
          <w:szCs w:val="24"/>
        </w:rPr>
      </w:pPr>
      <w:r w:rsidRPr="00A64B9D">
        <w:rPr>
          <w:rFonts w:ascii="Arial" w:hAnsi="Arial" w:cs="Arial"/>
          <w:sz w:val="24"/>
          <w:szCs w:val="24"/>
        </w:rPr>
        <w:t xml:space="preserve">Source: Actual CPI - </w:t>
      </w:r>
      <w:hyperlink r:id="rId10" w:history="1">
        <w:r w:rsidRPr="00A64B9D">
          <w:rPr>
            <w:rStyle w:val="Hyperlink"/>
            <w:rFonts w:ascii="Arial" w:hAnsi="Arial" w:cs="Arial"/>
            <w:sz w:val="24"/>
            <w:szCs w:val="24"/>
          </w:rPr>
          <w:t>www.labourbureau.nic.in</w:t>
        </w:r>
      </w:hyperlink>
      <w:r w:rsidRPr="00A64B9D">
        <w:rPr>
          <w:rFonts w:ascii="Arial" w:hAnsi="Arial" w:cs="Arial"/>
          <w:sz w:val="24"/>
          <w:szCs w:val="24"/>
        </w:rPr>
        <w:t>, Actual WPI - www.eaindustry.nic.in (Office of the Economic Advisor website)</w:t>
      </w:r>
    </w:p>
    <w:p w:rsidR="00B70F88" w:rsidRPr="00A64B9D" w:rsidRDefault="00B70F88" w:rsidP="00B70F88">
      <w:pPr>
        <w:spacing w:line="360" w:lineRule="auto"/>
        <w:ind w:left="720"/>
        <w:jc w:val="both"/>
        <w:rPr>
          <w:rFonts w:ascii="Arial" w:hAnsi="Arial" w:cs="Arial"/>
          <w:sz w:val="24"/>
          <w:szCs w:val="24"/>
        </w:rPr>
      </w:pPr>
      <w:r w:rsidRPr="00A64B9D">
        <w:rPr>
          <w:rFonts w:ascii="Arial" w:hAnsi="Arial" w:cs="Arial"/>
          <w:sz w:val="24"/>
          <w:szCs w:val="24"/>
        </w:rPr>
        <w:t>Further, O&amp;M expenses have increased mainly due to the following reasons, which were not considered while fixing the O&amp;M Cost target for the Distribution Business by the Hon’ble Commission.</w:t>
      </w:r>
    </w:p>
    <w:p w:rsidR="00B70F88" w:rsidRPr="00A64B9D" w:rsidRDefault="00B70F88" w:rsidP="00B70F88">
      <w:pPr>
        <w:pStyle w:val="ListParagraph"/>
        <w:numPr>
          <w:ilvl w:val="0"/>
          <w:numId w:val="3"/>
        </w:numPr>
        <w:spacing w:after="200" w:line="360" w:lineRule="auto"/>
        <w:ind w:left="1890"/>
        <w:contextualSpacing/>
        <w:jc w:val="both"/>
        <w:rPr>
          <w:rFonts w:ascii="Arial" w:hAnsi="Arial" w:cs="Arial"/>
          <w:sz w:val="24"/>
          <w:szCs w:val="24"/>
        </w:rPr>
      </w:pPr>
      <w:r w:rsidRPr="00A64B9D">
        <w:rPr>
          <w:rFonts w:ascii="Arial" w:hAnsi="Arial" w:cs="Arial"/>
          <w:sz w:val="24"/>
          <w:szCs w:val="24"/>
        </w:rPr>
        <w:t>Wage Revision in 2014 and 2018</w:t>
      </w:r>
    </w:p>
    <w:p w:rsidR="00B70F88" w:rsidRPr="00A64B9D" w:rsidRDefault="00B70F88" w:rsidP="00B70F88">
      <w:pPr>
        <w:numPr>
          <w:ilvl w:val="0"/>
          <w:numId w:val="3"/>
        </w:numPr>
        <w:spacing w:line="360" w:lineRule="auto"/>
        <w:ind w:left="1890"/>
        <w:rPr>
          <w:rFonts w:ascii="Arial" w:hAnsi="Arial" w:cs="Arial"/>
          <w:sz w:val="24"/>
          <w:szCs w:val="24"/>
        </w:rPr>
      </w:pPr>
      <w:r w:rsidRPr="00A64B9D">
        <w:rPr>
          <w:rFonts w:ascii="Arial" w:hAnsi="Arial" w:cs="Arial"/>
          <w:sz w:val="24"/>
          <w:szCs w:val="24"/>
        </w:rPr>
        <w:t>Regularisation of outsourcing employees in 2017</w:t>
      </w:r>
    </w:p>
    <w:p w:rsidR="00B70F88" w:rsidRPr="00A64B9D" w:rsidRDefault="00B70F88" w:rsidP="00B70F88">
      <w:pPr>
        <w:numPr>
          <w:ilvl w:val="0"/>
          <w:numId w:val="3"/>
        </w:numPr>
        <w:spacing w:line="360" w:lineRule="auto"/>
        <w:ind w:left="1890"/>
        <w:rPr>
          <w:rFonts w:ascii="Arial" w:hAnsi="Arial" w:cs="Arial"/>
          <w:sz w:val="24"/>
          <w:szCs w:val="24"/>
        </w:rPr>
      </w:pPr>
      <w:r w:rsidRPr="00A64B9D">
        <w:rPr>
          <w:rFonts w:ascii="Arial" w:hAnsi="Arial" w:cs="Arial"/>
          <w:sz w:val="24"/>
          <w:szCs w:val="24"/>
        </w:rPr>
        <w:t>Actuarial Valuation Report</w:t>
      </w:r>
    </w:p>
    <w:p w:rsidR="00B70F88" w:rsidRPr="00A64B9D" w:rsidRDefault="00B70F88" w:rsidP="00B70F88">
      <w:pPr>
        <w:numPr>
          <w:ilvl w:val="0"/>
          <w:numId w:val="3"/>
        </w:numPr>
        <w:spacing w:line="360" w:lineRule="auto"/>
        <w:ind w:left="1890"/>
        <w:rPr>
          <w:rFonts w:ascii="Arial" w:hAnsi="Arial" w:cs="Arial"/>
          <w:sz w:val="24"/>
          <w:szCs w:val="24"/>
        </w:rPr>
      </w:pPr>
      <w:r w:rsidRPr="00A64B9D">
        <w:rPr>
          <w:rFonts w:ascii="Arial" w:hAnsi="Arial" w:cs="Arial"/>
          <w:sz w:val="24"/>
          <w:szCs w:val="24"/>
        </w:rPr>
        <w:t>Leave Encashment</w:t>
      </w:r>
    </w:p>
    <w:p w:rsidR="00B70F88" w:rsidRPr="00A64B9D" w:rsidRDefault="00B70F88" w:rsidP="00B70F88">
      <w:pPr>
        <w:numPr>
          <w:ilvl w:val="0"/>
          <w:numId w:val="3"/>
        </w:numPr>
        <w:spacing w:line="360" w:lineRule="auto"/>
        <w:ind w:left="1890"/>
        <w:rPr>
          <w:rFonts w:ascii="Arial" w:hAnsi="Arial" w:cs="Arial"/>
          <w:sz w:val="24"/>
          <w:szCs w:val="24"/>
        </w:rPr>
      </w:pPr>
      <w:r w:rsidRPr="00A64B9D">
        <w:rPr>
          <w:rFonts w:ascii="Arial" w:hAnsi="Arial" w:cs="Arial"/>
          <w:sz w:val="24"/>
          <w:szCs w:val="24"/>
        </w:rPr>
        <w:t>DA hike and new recruitment</w:t>
      </w:r>
    </w:p>
    <w:p w:rsidR="00B70F88" w:rsidRPr="00A64B9D" w:rsidRDefault="00B70F88" w:rsidP="00B70F88">
      <w:pPr>
        <w:pStyle w:val="ListParagraph"/>
        <w:numPr>
          <w:ilvl w:val="0"/>
          <w:numId w:val="3"/>
        </w:numPr>
        <w:spacing w:after="200" w:line="360" w:lineRule="auto"/>
        <w:ind w:left="1890"/>
        <w:contextualSpacing/>
        <w:jc w:val="both"/>
        <w:rPr>
          <w:rFonts w:ascii="Arial" w:hAnsi="Arial" w:cs="Arial"/>
          <w:sz w:val="24"/>
          <w:szCs w:val="24"/>
        </w:rPr>
      </w:pPr>
      <w:r w:rsidRPr="00A64B9D">
        <w:rPr>
          <w:rFonts w:ascii="Arial" w:hAnsi="Arial" w:cs="Arial"/>
          <w:sz w:val="24"/>
          <w:szCs w:val="24"/>
        </w:rPr>
        <w:t>Increase in Repairs and Maintenance cost</w:t>
      </w:r>
    </w:p>
    <w:p w:rsidR="00B70F88" w:rsidRPr="00A64B9D" w:rsidRDefault="00B70F88" w:rsidP="00B70F88">
      <w:pPr>
        <w:numPr>
          <w:ilvl w:val="0"/>
          <w:numId w:val="3"/>
        </w:numPr>
        <w:spacing w:line="360" w:lineRule="auto"/>
        <w:ind w:left="1890"/>
        <w:rPr>
          <w:rFonts w:ascii="Arial" w:hAnsi="Arial" w:cs="Arial"/>
          <w:sz w:val="24"/>
          <w:szCs w:val="24"/>
        </w:rPr>
      </w:pPr>
      <w:r w:rsidRPr="00A64B9D">
        <w:rPr>
          <w:rFonts w:ascii="Arial" w:hAnsi="Arial" w:cs="Arial"/>
          <w:sz w:val="24"/>
          <w:szCs w:val="24"/>
        </w:rPr>
        <w:t>Increase in travelling and vehicle hire expenses</w:t>
      </w:r>
    </w:p>
    <w:p w:rsidR="00B70F88" w:rsidRPr="00A64B9D" w:rsidRDefault="00B70F88" w:rsidP="00B70F88">
      <w:pPr>
        <w:pStyle w:val="ListParagraph"/>
        <w:numPr>
          <w:ilvl w:val="0"/>
          <w:numId w:val="4"/>
        </w:numPr>
        <w:spacing w:after="200" w:line="360" w:lineRule="auto"/>
        <w:jc w:val="both"/>
        <w:rPr>
          <w:rFonts w:ascii="Arial" w:hAnsi="Arial" w:cs="Arial"/>
          <w:b/>
          <w:sz w:val="24"/>
          <w:szCs w:val="24"/>
        </w:rPr>
      </w:pPr>
      <w:r w:rsidRPr="00A64B9D">
        <w:rPr>
          <w:rFonts w:ascii="Arial" w:hAnsi="Arial" w:cs="Arial"/>
          <w:b/>
          <w:sz w:val="24"/>
          <w:szCs w:val="24"/>
        </w:rPr>
        <w:t>Employee Expenses</w:t>
      </w:r>
    </w:p>
    <w:p w:rsidR="00B70F88" w:rsidRPr="00A64B9D" w:rsidRDefault="00B70F88" w:rsidP="00B70F88">
      <w:pPr>
        <w:pStyle w:val="ListParagraph"/>
        <w:numPr>
          <w:ilvl w:val="0"/>
          <w:numId w:val="5"/>
        </w:numPr>
        <w:spacing w:after="200" w:line="360" w:lineRule="auto"/>
        <w:contextualSpacing/>
        <w:jc w:val="both"/>
        <w:rPr>
          <w:rFonts w:ascii="Arial" w:eastAsia="Arial" w:hAnsi="Arial" w:cs="Arial"/>
          <w:b/>
          <w:sz w:val="24"/>
          <w:szCs w:val="24"/>
        </w:rPr>
      </w:pPr>
      <w:r w:rsidRPr="00A64B9D">
        <w:rPr>
          <w:rFonts w:ascii="Arial" w:eastAsia="Arial" w:hAnsi="Arial" w:cs="Arial"/>
          <w:b/>
          <w:sz w:val="24"/>
          <w:szCs w:val="24"/>
        </w:rPr>
        <w:t>Wage Revision Impact  in 2014 and 2018:</w:t>
      </w:r>
    </w:p>
    <w:p w:rsidR="00B70F88" w:rsidRPr="00A64B9D" w:rsidRDefault="00B70F88" w:rsidP="00B70F88">
      <w:pPr>
        <w:pStyle w:val="ListParagraph"/>
        <w:tabs>
          <w:tab w:val="left" w:pos="450"/>
        </w:tabs>
        <w:spacing w:line="360" w:lineRule="auto"/>
        <w:ind w:left="1890"/>
        <w:contextualSpacing/>
        <w:rPr>
          <w:rFonts w:ascii="Arial" w:eastAsia="Arial" w:hAnsi="Arial" w:cs="Arial"/>
          <w:b/>
          <w:sz w:val="24"/>
          <w:szCs w:val="24"/>
          <w:u w:val="single"/>
        </w:rPr>
      </w:pPr>
    </w:p>
    <w:p w:rsidR="00B70F88" w:rsidRPr="00A64B9D" w:rsidRDefault="00B70F88" w:rsidP="00B70F88">
      <w:pPr>
        <w:pStyle w:val="ListParagraph"/>
        <w:tabs>
          <w:tab w:val="left" w:pos="450"/>
        </w:tabs>
        <w:spacing w:line="360" w:lineRule="auto"/>
        <w:ind w:left="1890"/>
        <w:jc w:val="both"/>
        <w:rPr>
          <w:rFonts w:ascii="Arial" w:eastAsia="Arial" w:hAnsi="Arial" w:cs="Arial"/>
          <w:sz w:val="24"/>
          <w:szCs w:val="24"/>
        </w:rPr>
      </w:pPr>
      <w:r w:rsidRPr="00A64B9D">
        <w:rPr>
          <w:rFonts w:ascii="Arial" w:eastAsia="Arial" w:hAnsi="Arial" w:cs="Arial"/>
          <w:sz w:val="24"/>
          <w:szCs w:val="24"/>
        </w:rPr>
        <w:t xml:space="preserve">During the FY 2014-15 and FY 2018-19, Pay Revision of the employees has taken place due to which pay was increased over the </w:t>
      </w:r>
      <w:r w:rsidRPr="00A64B9D">
        <w:rPr>
          <w:rFonts w:ascii="Arial" w:eastAsia="Arial" w:hAnsi="Arial" w:cs="Arial"/>
          <w:sz w:val="24"/>
          <w:szCs w:val="24"/>
        </w:rPr>
        <w:lastRenderedPageBreak/>
        <w:t>years from FY 2014-15 onwards and in FY 2018-19.  The overall increase in the cost during the control period in the Employee Pay is 14.64%. Hence, the Licensee requests the Hon’ble Commission to provide a true-up to meet the increased O&amp;M cost of licensee. Major element wise Employee Cost details are as below detailing the wage revision impact:</w:t>
      </w:r>
    </w:p>
    <w:tbl>
      <w:tblPr>
        <w:tblW w:w="8610" w:type="dxa"/>
        <w:tblInd w:w="1349" w:type="dxa"/>
        <w:tblLook w:val="04A0"/>
      </w:tblPr>
      <w:tblGrid>
        <w:gridCol w:w="1930"/>
        <w:gridCol w:w="1031"/>
        <w:gridCol w:w="1031"/>
        <w:gridCol w:w="1031"/>
        <w:gridCol w:w="1031"/>
        <w:gridCol w:w="1117"/>
        <w:gridCol w:w="1439"/>
      </w:tblGrid>
      <w:tr w:rsidR="00B70F88" w:rsidRPr="00A64B9D" w:rsidTr="006226F4">
        <w:trPr>
          <w:trHeight w:val="865"/>
        </w:trPr>
        <w:tc>
          <w:tcPr>
            <w:tcW w:w="1930" w:type="dxa"/>
            <w:tcBorders>
              <w:top w:val="single" w:sz="4" w:space="0" w:color="auto"/>
              <w:left w:val="single" w:sz="4" w:space="0" w:color="auto"/>
              <w:bottom w:val="single" w:sz="4" w:space="0" w:color="auto"/>
              <w:right w:val="single" w:sz="4" w:space="0" w:color="auto"/>
            </w:tcBorders>
            <w:shd w:val="clear" w:color="000000" w:fill="17375D"/>
            <w:noWrap/>
            <w:vAlign w:val="center"/>
            <w:hideMark/>
          </w:tcPr>
          <w:p w:rsidR="00B70F88" w:rsidRPr="00A45EA8" w:rsidRDefault="00B70F88" w:rsidP="006226F4">
            <w:pPr>
              <w:jc w:val="center"/>
              <w:rPr>
                <w:rFonts w:ascii="Arial" w:hAnsi="Arial" w:cs="Arial"/>
                <w:b/>
                <w:bCs/>
                <w:color w:val="FFFFFF"/>
              </w:rPr>
            </w:pPr>
            <w:r w:rsidRPr="00A45EA8">
              <w:rPr>
                <w:rFonts w:ascii="Arial" w:hAnsi="Arial" w:cs="Arial"/>
                <w:b/>
                <w:bCs/>
                <w:color w:val="FFFFFF"/>
              </w:rPr>
              <w:t xml:space="preserve">Particulars </w:t>
            </w:r>
          </w:p>
          <w:p w:rsidR="00B70F88" w:rsidRPr="00A45EA8" w:rsidRDefault="00B70F88" w:rsidP="006226F4">
            <w:pPr>
              <w:jc w:val="center"/>
              <w:rPr>
                <w:rFonts w:ascii="Arial" w:hAnsi="Arial" w:cs="Arial"/>
                <w:b/>
                <w:bCs/>
                <w:color w:val="FFFFFF"/>
              </w:rPr>
            </w:pPr>
            <w:r w:rsidRPr="00A45EA8">
              <w:rPr>
                <w:rFonts w:ascii="Arial" w:hAnsi="Arial" w:cs="Arial"/>
                <w:b/>
                <w:bCs/>
                <w:color w:val="FFFFFF"/>
              </w:rPr>
              <w:t>(Rs. in Crores)</w:t>
            </w:r>
          </w:p>
        </w:tc>
        <w:tc>
          <w:tcPr>
            <w:tcW w:w="1031"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rPr>
            </w:pPr>
            <w:r w:rsidRPr="00A45EA8">
              <w:rPr>
                <w:rFonts w:ascii="Arial" w:hAnsi="Arial" w:cs="Arial"/>
                <w:b/>
                <w:bCs/>
                <w:color w:val="FFFFFF"/>
              </w:rPr>
              <w:t>2014-15</w:t>
            </w:r>
          </w:p>
        </w:tc>
        <w:tc>
          <w:tcPr>
            <w:tcW w:w="1031"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rPr>
            </w:pPr>
            <w:r w:rsidRPr="00A45EA8">
              <w:rPr>
                <w:rFonts w:ascii="Arial" w:hAnsi="Arial" w:cs="Arial"/>
                <w:b/>
                <w:bCs/>
                <w:color w:val="FFFFFF"/>
              </w:rPr>
              <w:t>2015-16</w:t>
            </w:r>
          </w:p>
        </w:tc>
        <w:tc>
          <w:tcPr>
            <w:tcW w:w="1031"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rPr>
            </w:pPr>
            <w:r w:rsidRPr="00A45EA8">
              <w:rPr>
                <w:rFonts w:ascii="Arial" w:hAnsi="Arial" w:cs="Arial"/>
                <w:b/>
                <w:bCs/>
                <w:color w:val="FFFFFF"/>
              </w:rPr>
              <w:t>2016-17</w:t>
            </w:r>
          </w:p>
        </w:tc>
        <w:tc>
          <w:tcPr>
            <w:tcW w:w="1031"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rPr>
            </w:pPr>
            <w:r w:rsidRPr="00A45EA8">
              <w:rPr>
                <w:rFonts w:ascii="Arial" w:hAnsi="Arial" w:cs="Arial"/>
                <w:b/>
                <w:bCs/>
                <w:color w:val="FFFFFF"/>
              </w:rPr>
              <w:t>2017-18</w:t>
            </w:r>
          </w:p>
        </w:tc>
        <w:tc>
          <w:tcPr>
            <w:tcW w:w="1117"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rPr>
            </w:pPr>
            <w:r w:rsidRPr="00A45EA8">
              <w:rPr>
                <w:rFonts w:ascii="Arial" w:hAnsi="Arial" w:cs="Arial"/>
                <w:b/>
                <w:bCs/>
                <w:color w:val="FFFFFF"/>
              </w:rPr>
              <w:t>2018-19</w:t>
            </w:r>
          </w:p>
        </w:tc>
        <w:tc>
          <w:tcPr>
            <w:tcW w:w="1439"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rPr>
            </w:pPr>
            <w:r w:rsidRPr="00A45EA8">
              <w:rPr>
                <w:rFonts w:ascii="Arial" w:hAnsi="Arial" w:cs="Arial"/>
                <w:b/>
                <w:bCs/>
                <w:color w:val="FFFFFF"/>
              </w:rPr>
              <w:t>Increase Rate %  in Control Period</w:t>
            </w:r>
          </w:p>
        </w:tc>
      </w:tr>
      <w:tr w:rsidR="00B70F88" w:rsidRPr="00A64B9D" w:rsidTr="006226F4">
        <w:trPr>
          <w:trHeight w:val="275"/>
        </w:trPr>
        <w:tc>
          <w:tcPr>
            <w:tcW w:w="1930" w:type="dxa"/>
            <w:tcBorders>
              <w:top w:val="nil"/>
              <w:left w:val="single" w:sz="4" w:space="0" w:color="auto"/>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Basic Pay</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385.88</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407.12</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408.32</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409.03</w:t>
            </w:r>
          </w:p>
        </w:tc>
        <w:tc>
          <w:tcPr>
            <w:tcW w:w="1117"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690.58</w:t>
            </w:r>
          </w:p>
        </w:tc>
        <w:tc>
          <w:tcPr>
            <w:tcW w:w="143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14.64%</w:t>
            </w:r>
          </w:p>
        </w:tc>
      </w:tr>
      <w:tr w:rsidR="00B70F88" w:rsidRPr="00A64B9D" w:rsidTr="006226F4">
        <w:trPr>
          <w:trHeight w:val="275"/>
        </w:trPr>
        <w:tc>
          <w:tcPr>
            <w:tcW w:w="1930" w:type="dxa"/>
            <w:tcBorders>
              <w:top w:val="nil"/>
              <w:left w:val="single" w:sz="4" w:space="0" w:color="auto"/>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D.A</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26.29</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36.69</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62.26</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78.89</w:t>
            </w:r>
          </w:p>
        </w:tc>
        <w:tc>
          <w:tcPr>
            <w:tcW w:w="1117"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21.36</w:t>
            </w:r>
          </w:p>
        </w:tc>
        <w:tc>
          <w:tcPr>
            <w:tcW w:w="1439" w:type="dxa"/>
            <w:vMerge/>
            <w:tcBorders>
              <w:top w:val="nil"/>
              <w:left w:val="single" w:sz="4" w:space="0" w:color="auto"/>
              <w:bottom w:val="single" w:sz="4" w:space="0" w:color="000000"/>
              <w:right w:val="single" w:sz="4" w:space="0" w:color="auto"/>
            </w:tcBorders>
            <w:vAlign w:val="center"/>
            <w:hideMark/>
          </w:tcPr>
          <w:p w:rsidR="00B70F88" w:rsidRPr="00A64B9D" w:rsidRDefault="00B70F88" w:rsidP="006226F4">
            <w:pPr>
              <w:rPr>
                <w:rFonts w:ascii="Arial" w:hAnsi="Arial" w:cs="Arial"/>
                <w:color w:val="000000"/>
                <w:sz w:val="24"/>
                <w:szCs w:val="24"/>
              </w:rPr>
            </w:pPr>
          </w:p>
        </w:tc>
      </w:tr>
      <w:tr w:rsidR="00B70F88" w:rsidRPr="00A64B9D" w:rsidTr="006226F4">
        <w:trPr>
          <w:trHeight w:val="275"/>
        </w:trPr>
        <w:tc>
          <w:tcPr>
            <w:tcW w:w="1930" w:type="dxa"/>
            <w:tcBorders>
              <w:top w:val="nil"/>
              <w:left w:val="single" w:sz="4" w:space="0" w:color="auto"/>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Other allowances</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71.70</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81.22</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79.80</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83.35</w:t>
            </w:r>
          </w:p>
        </w:tc>
        <w:tc>
          <w:tcPr>
            <w:tcW w:w="1117"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118.96</w:t>
            </w:r>
          </w:p>
        </w:tc>
        <w:tc>
          <w:tcPr>
            <w:tcW w:w="1439"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13.50%</w:t>
            </w:r>
          </w:p>
        </w:tc>
      </w:tr>
      <w:tr w:rsidR="00B70F88" w:rsidRPr="00A64B9D" w:rsidTr="006226F4">
        <w:trPr>
          <w:trHeight w:val="275"/>
        </w:trPr>
        <w:tc>
          <w:tcPr>
            <w:tcW w:w="1930" w:type="dxa"/>
            <w:tcBorders>
              <w:top w:val="nil"/>
              <w:left w:val="single" w:sz="4" w:space="0" w:color="auto"/>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EL Encashment</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49.52</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49.04</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61.87</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43.66</w:t>
            </w:r>
          </w:p>
        </w:tc>
        <w:tc>
          <w:tcPr>
            <w:tcW w:w="1117"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187.68</w:t>
            </w:r>
          </w:p>
        </w:tc>
        <w:tc>
          <w:tcPr>
            <w:tcW w:w="1439"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39.52%</w:t>
            </w:r>
          </w:p>
        </w:tc>
      </w:tr>
      <w:tr w:rsidR="00B70F88" w:rsidRPr="00A64B9D" w:rsidTr="006226F4">
        <w:trPr>
          <w:trHeight w:val="275"/>
        </w:trPr>
        <w:tc>
          <w:tcPr>
            <w:tcW w:w="1930" w:type="dxa"/>
            <w:tcBorders>
              <w:top w:val="nil"/>
              <w:left w:val="single" w:sz="4" w:space="0" w:color="auto"/>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Terminal benefits</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172.74</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115.81</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100.64</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-13.27</w:t>
            </w:r>
          </w:p>
        </w:tc>
        <w:tc>
          <w:tcPr>
            <w:tcW w:w="1117"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469.73</w:t>
            </w:r>
          </w:p>
        </w:tc>
        <w:tc>
          <w:tcPr>
            <w:tcW w:w="1439"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28.42%</w:t>
            </w:r>
          </w:p>
        </w:tc>
      </w:tr>
      <w:tr w:rsidR="00B70F88" w:rsidRPr="00A64B9D" w:rsidTr="006226F4">
        <w:trPr>
          <w:trHeight w:val="275"/>
        </w:trPr>
        <w:tc>
          <w:tcPr>
            <w:tcW w:w="1930" w:type="dxa"/>
            <w:tcBorders>
              <w:top w:val="nil"/>
              <w:left w:val="single" w:sz="4" w:space="0" w:color="auto"/>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Others</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45.17</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46.54</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50.77</w:t>
            </w:r>
          </w:p>
        </w:tc>
        <w:tc>
          <w:tcPr>
            <w:tcW w:w="1031"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120.69</w:t>
            </w:r>
          </w:p>
        </w:tc>
        <w:tc>
          <w:tcPr>
            <w:tcW w:w="1117"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193.53</w:t>
            </w:r>
          </w:p>
        </w:tc>
        <w:tc>
          <w:tcPr>
            <w:tcW w:w="1439"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43.87%</w:t>
            </w:r>
          </w:p>
        </w:tc>
      </w:tr>
      <w:tr w:rsidR="00B70F88" w:rsidRPr="00A64B9D" w:rsidTr="006226F4">
        <w:trPr>
          <w:trHeight w:val="288"/>
        </w:trPr>
        <w:tc>
          <w:tcPr>
            <w:tcW w:w="1930" w:type="dxa"/>
            <w:tcBorders>
              <w:top w:val="nil"/>
              <w:left w:val="single" w:sz="4" w:space="0" w:color="auto"/>
              <w:bottom w:val="single" w:sz="4" w:space="0" w:color="auto"/>
              <w:right w:val="single" w:sz="4" w:space="0" w:color="auto"/>
            </w:tcBorders>
            <w:shd w:val="clear" w:color="000000" w:fill="FCD5B4"/>
            <w:vAlign w:val="center"/>
            <w:hideMark/>
          </w:tcPr>
          <w:p w:rsidR="00B70F88" w:rsidRPr="00A64B9D" w:rsidRDefault="00B70F88" w:rsidP="006226F4">
            <w:pPr>
              <w:jc w:val="center"/>
              <w:rPr>
                <w:rFonts w:ascii="Arial" w:hAnsi="Arial" w:cs="Arial"/>
                <w:b/>
                <w:bCs/>
                <w:sz w:val="24"/>
                <w:szCs w:val="24"/>
              </w:rPr>
            </w:pPr>
            <w:r w:rsidRPr="00A64B9D">
              <w:rPr>
                <w:rFonts w:ascii="Arial" w:hAnsi="Arial" w:cs="Arial"/>
                <w:b/>
                <w:bCs/>
                <w:sz w:val="24"/>
                <w:szCs w:val="24"/>
              </w:rPr>
              <w:t>TOTAL</w:t>
            </w:r>
          </w:p>
        </w:tc>
        <w:tc>
          <w:tcPr>
            <w:tcW w:w="1031" w:type="dxa"/>
            <w:tcBorders>
              <w:top w:val="nil"/>
              <w:left w:val="nil"/>
              <w:bottom w:val="single" w:sz="4" w:space="0" w:color="auto"/>
              <w:right w:val="single" w:sz="4" w:space="0" w:color="auto"/>
            </w:tcBorders>
            <w:shd w:val="clear" w:color="000000" w:fill="FCD5B4"/>
            <w:vAlign w:val="center"/>
            <w:hideMark/>
          </w:tcPr>
          <w:p w:rsidR="00B70F88" w:rsidRPr="00A64B9D" w:rsidRDefault="00B70F88" w:rsidP="006226F4">
            <w:pPr>
              <w:jc w:val="center"/>
              <w:rPr>
                <w:rFonts w:ascii="Arial" w:hAnsi="Arial" w:cs="Arial"/>
                <w:b/>
                <w:bCs/>
                <w:sz w:val="24"/>
                <w:szCs w:val="24"/>
              </w:rPr>
            </w:pPr>
            <w:r w:rsidRPr="00A64B9D">
              <w:rPr>
                <w:rFonts w:ascii="Arial" w:hAnsi="Arial" w:cs="Arial"/>
                <w:b/>
                <w:bCs/>
                <w:sz w:val="24"/>
                <w:szCs w:val="24"/>
              </w:rPr>
              <w:t>751.30</w:t>
            </w:r>
          </w:p>
        </w:tc>
        <w:tc>
          <w:tcPr>
            <w:tcW w:w="1031" w:type="dxa"/>
            <w:tcBorders>
              <w:top w:val="nil"/>
              <w:left w:val="nil"/>
              <w:bottom w:val="single" w:sz="4" w:space="0" w:color="auto"/>
              <w:right w:val="single" w:sz="4" w:space="0" w:color="auto"/>
            </w:tcBorders>
            <w:shd w:val="clear" w:color="000000" w:fill="FCD5B4"/>
            <w:vAlign w:val="center"/>
            <w:hideMark/>
          </w:tcPr>
          <w:p w:rsidR="00B70F88" w:rsidRPr="00A64B9D" w:rsidRDefault="00B70F88" w:rsidP="006226F4">
            <w:pPr>
              <w:jc w:val="center"/>
              <w:rPr>
                <w:rFonts w:ascii="Arial" w:hAnsi="Arial" w:cs="Arial"/>
                <w:b/>
                <w:bCs/>
                <w:sz w:val="24"/>
                <w:szCs w:val="24"/>
              </w:rPr>
            </w:pPr>
            <w:r w:rsidRPr="00A64B9D">
              <w:rPr>
                <w:rFonts w:ascii="Arial" w:hAnsi="Arial" w:cs="Arial"/>
                <w:b/>
                <w:bCs/>
                <w:sz w:val="24"/>
                <w:szCs w:val="24"/>
              </w:rPr>
              <w:t>736.42</w:t>
            </w:r>
          </w:p>
        </w:tc>
        <w:tc>
          <w:tcPr>
            <w:tcW w:w="1031" w:type="dxa"/>
            <w:tcBorders>
              <w:top w:val="nil"/>
              <w:left w:val="nil"/>
              <w:bottom w:val="single" w:sz="4" w:space="0" w:color="auto"/>
              <w:right w:val="single" w:sz="4" w:space="0" w:color="auto"/>
            </w:tcBorders>
            <w:shd w:val="clear" w:color="000000" w:fill="FCD5B4"/>
            <w:vAlign w:val="center"/>
            <w:hideMark/>
          </w:tcPr>
          <w:p w:rsidR="00B70F88" w:rsidRPr="00A64B9D" w:rsidRDefault="00B70F88" w:rsidP="006226F4">
            <w:pPr>
              <w:jc w:val="center"/>
              <w:rPr>
                <w:rFonts w:ascii="Arial" w:hAnsi="Arial" w:cs="Arial"/>
                <w:b/>
                <w:bCs/>
                <w:sz w:val="24"/>
                <w:szCs w:val="24"/>
              </w:rPr>
            </w:pPr>
            <w:r w:rsidRPr="00A64B9D">
              <w:rPr>
                <w:rFonts w:ascii="Arial" w:hAnsi="Arial" w:cs="Arial"/>
                <w:b/>
                <w:bCs/>
                <w:sz w:val="24"/>
                <w:szCs w:val="24"/>
              </w:rPr>
              <w:t>763.65</w:t>
            </w:r>
          </w:p>
        </w:tc>
        <w:tc>
          <w:tcPr>
            <w:tcW w:w="1031" w:type="dxa"/>
            <w:tcBorders>
              <w:top w:val="nil"/>
              <w:left w:val="nil"/>
              <w:bottom w:val="single" w:sz="4" w:space="0" w:color="auto"/>
              <w:right w:val="single" w:sz="4" w:space="0" w:color="auto"/>
            </w:tcBorders>
            <w:shd w:val="clear" w:color="000000" w:fill="FCD5B4"/>
            <w:vAlign w:val="center"/>
            <w:hideMark/>
          </w:tcPr>
          <w:p w:rsidR="00B70F88" w:rsidRPr="00A64B9D" w:rsidRDefault="00B70F88" w:rsidP="006226F4">
            <w:pPr>
              <w:jc w:val="center"/>
              <w:rPr>
                <w:rFonts w:ascii="Arial" w:hAnsi="Arial" w:cs="Arial"/>
                <w:b/>
                <w:bCs/>
                <w:sz w:val="24"/>
                <w:szCs w:val="24"/>
              </w:rPr>
            </w:pPr>
            <w:r w:rsidRPr="00A64B9D">
              <w:rPr>
                <w:rFonts w:ascii="Arial" w:hAnsi="Arial" w:cs="Arial"/>
                <w:b/>
                <w:bCs/>
                <w:sz w:val="24"/>
                <w:szCs w:val="24"/>
              </w:rPr>
              <w:t>722.37</w:t>
            </w:r>
          </w:p>
        </w:tc>
        <w:tc>
          <w:tcPr>
            <w:tcW w:w="1117" w:type="dxa"/>
            <w:tcBorders>
              <w:top w:val="nil"/>
              <w:left w:val="nil"/>
              <w:bottom w:val="single" w:sz="4" w:space="0" w:color="auto"/>
              <w:right w:val="single" w:sz="4" w:space="0" w:color="auto"/>
            </w:tcBorders>
            <w:shd w:val="clear" w:color="000000" w:fill="FCD5B4"/>
            <w:vAlign w:val="center"/>
            <w:hideMark/>
          </w:tcPr>
          <w:p w:rsidR="00B70F88" w:rsidRPr="00A64B9D" w:rsidRDefault="00B70F88" w:rsidP="006226F4">
            <w:pPr>
              <w:jc w:val="center"/>
              <w:rPr>
                <w:rFonts w:ascii="Arial" w:hAnsi="Arial" w:cs="Arial"/>
                <w:b/>
                <w:bCs/>
                <w:sz w:val="24"/>
                <w:szCs w:val="24"/>
              </w:rPr>
            </w:pPr>
            <w:r w:rsidRPr="00A64B9D">
              <w:rPr>
                <w:rFonts w:ascii="Arial" w:hAnsi="Arial" w:cs="Arial"/>
                <w:b/>
                <w:bCs/>
                <w:sz w:val="24"/>
                <w:szCs w:val="24"/>
              </w:rPr>
              <w:t>1681.84</w:t>
            </w:r>
          </w:p>
        </w:tc>
        <w:tc>
          <w:tcPr>
            <w:tcW w:w="1439" w:type="dxa"/>
            <w:tcBorders>
              <w:top w:val="nil"/>
              <w:left w:val="nil"/>
              <w:bottom w:val="single" w:sz="4" w:space="0" w:color="auto"/>
              <w:right w:val="single" w:sz="4" w:space="0" w:color="auto"/>
            </w:tcBorders>
            <w:shd w:val="clear" w:color="000000" w:fill="FCD5B4"/>
            <w:noWrap/>
            <w:vAlign w:val="center"/>
            <w:hideMark/>
          </w:tcPr>
          <w:p w:rsidR="00B70F88" w:rsidRPr="00A64B9D" w:rsidRDefault="00B70F88" w:rsidP="006226F4">
            <w:pPr>
              <w:jc w:val="center"/>
              <w:rPr>
                <w:rFonts w:ascii="Arial" w:hAnsi="Arial" w:cs="Arial"/>
                <w:b/>
                <w:bCs/>
                <w:color w:val="000000"/>
                <w:sz w:val="24"/>
                <w:szCs w:val="24"/>
              </w:rPr>
            </w:pPr>
            <w:r w:rsidRPr="00A64B9D">
              <w:rPr>
                <w:rFonts w:ascii="Arial" w:hAnsi="Arial" w:cs="Arial"/>
                <w:b/>
                <w:bCs/>
                <w:color w:val="000000"/>
                <w:sz w:val="24"/>
                <w:szCs w:val="24"/>
              </w:rPr>
              <w:t>22.32%</w:t>
            </w:r>
          </w:p>
        </w:tc>
      </w:tr>
    </w:tbl>
    <w:p w:rsidR="00B70F88" w:rsidRPr="00A64B9D" w:rsidRDefault="00B70F88" w:rsidP="00B70F88">
      <w:pPr>
        <w:pStyle w:val="ListParagraph"/>
        <w:spacing w:after="200" w:line="360" w:lineRule="auto"/>
        <w:ind w:left="0"/>
        <w:contextualSpacing/>
        <w:jc w:val="both"/>
        <w:rPr>
          <w:rFonts w:ascii="Arial" w:eastAsia="Arial" w:hAnsi="Arial" w:cs="Arial"/>
          <w:sz w:val="24"/>
          <w:szCs w:val="24"/>
        </w:rPr>
      </w:pPr>
    </w:p>
    <w:p w:rsidR="00B70F88" w:rsidRPr="00A64B9D" w:rsidRDefault="00B70F88" w:rsidP="00B70F88">
      <w:pPr>
        <w:numPr>
          <w:ilvl w:val="0"/>
          <w:numId w:val="5"/>
        </w:numPr>
        <w:spacing w:line="360" w:lineRule="auto"/>
        <w:rPr>
          <w:rFonts w:ascii="Arial" w:eastAsia="Arial" w:hAnsi="Arial" w:cs="Arial"/>
          <w:b/>
          <w:sz w:val="24"/>
          <w:szCs w:val="24"/>
        </w:rPr>
      </w:pPr>
      <w:r w:rsidRPr="00A64B9D">
        <w:rPr>
          <w:rFonts w:ascii="Arial" w:eastAsia="Arial" w:hAnsi="Arial" w:cs="Arial"/>
          <w:b/>
          <w:sz w:val="24"/>
          <w:szCs w:val="24"/>
        </w:rPr>
        <w:t>Regularisation of outsourcing employees in 2017</w:t>
      </w:r>
    </w:p>
    <w:p w:rsidR="00B70F88" w:rsidRPr="00A64B9D" w:rsidRDefault="00B70F88" w:rsidP="00B70F88">
      <w:pPr>
        <w:pStyle w:val="ListParagraph"/>
        <w:spacing w:after="200" w:line="360" w:lineRule="auto"/>
        <w:ind w:left="1890"/>
        <w:contextualSpacing/>
        <w:jc w:val="both"/>
        <w:rPr>
          <w:rFonts w:ascii="Arial" w:eastAsia="Arial" w:hAnsi="Arial" w:cs="Arial"/>
          <w:sz w:val="24"/>
          <w:szCs w:val="24"/>
        </w:rPr>
      </w:pPr>
      <w:r w:rsidRPr="00A64B9D">
        <w:rPr>
          <w:rFonts w:ascii="Arial" w:eastAsia="Arial" w:hAnsi="Arial" w:cs="Arial"/>
          <w:sz w:val="24"/>
          <w:szCs w:val="24"/>
        </w:rPr>
        <w:t xml:space="preserve">The charges pertains to contract labour are majorly grouped under Repairs and Maintenance head of the O&amp;M cost till FY 2017-18. </w:t>
      </w:r>
    </w:p>
    <w:p w:rsidR="00B70F88" w:rsidRPr="00A64B9D" w:rsidRDefault="00B70F88" w:rsidP="00B70F88">
      <w:pPr>
        <w:pStyle w:val="ListParagraph"/>
        <w:spacing w:after="200" w:line="360" w:lineRule="auto"/>
        <w:ind w:left="1890"/>
        <w:contextualSpacing/>
        <w:jc w:val="both"/>
        <w:rPr>
          <w:rFonts w:ascii="Arial" w:eastAsia="Arial" w:hAnsi="Arial" w:cs="Arial"/>
          <w:sz w:val="24"/>
          <w:szCs w:val="24"/>
        </w:rPr>
      </w:pPr>
      <w:r w:rsidRPr="00A64B9D">
        <w:rPr>
          <w:rFonts w:ascii="Arial" w:eastAsia="Arial" w:hAnsi="Arial" w:cs="Arial"/>
          <w:sz w:val="24"/>
          <w:szCs w:val="24"/>
        </w:rPr>
        <w:t xml:space="preserve">However in FY 2017-18, on 29.07.2017, based on the orders of Honble High Court, the contract labour have been designated as artisans by regularising their service. Hence the salaries paid to artisans which were grouped earlier under R&amp;M Expenses are brought under Employee expenses of the O&amp;M cost from middle of the FY 2017-18 onwards. Hence the Employee cost includes salaries </w:t>
      </w:r>
      <w:r w:rsidRPr="00A64B9D">
        <w:rPr>
          <w:rFonts w:ascii="Arial" w:eastAsia="Arial" w:hAnsi="Arial" w:cs="Arial"/>
          <w:sz w:val="24"/>
          <w:szCs w:val="24"/>
        </w:rPr>
        <w:lastRenderedPageBreak/>
        <w:t>to artisans from FY 2017-18 which are also contributing to the variation in actual employee costs vis-à-vis Commission approved costs.</w:t>
      </w:r>
    </w:p>
    <w:p w:rsidR="00B70F88" w:rsidRPr="00A64B9D" w:rsidRDefault="00B70F88" w:rsidP="00B70F88">
      <w:pPr>
        <w:pStyle w:val="ListParagraph"/>
        <w:spacing w:after="200" w:line="360" w:lineRule="auto"/>
        <w:ind w:left="1890"/>
        <w:contextualSpacing/>
        <w:jc w:val="both"/>
        <w:rPr>
          <w:rFonts w:ascii="Arial" w:eastAsia="Arial" w:hAnsi="Arial" w:cs="Arial"/>
          <w:sz w:val="24"/>
          <w:szCs w:val="24"/>
        </w:rPr>
      </w:pPr>
      <w:r w:rsidRPr="00A64B9D">
        <w:rPr>
          <w:rFonts w:ascii="Arial" w:eastAsia="Arial" w:hAnsi="Arial" w:cs="Arial"/>
          <w:sz w:val="24"/>
          <w:szCs w:val="24"/>
        </w:rPr>
        <w:t>The salaries of the artisans during the control period is tabulated below.</w:t>
      </w:r>
    </w:p>
    <w:tbl>
      <w:tblPr>
        <w:tblW w:w="6660" w:type="dxa"/>
        <w:tblInd w:w="2088" w:type="dxa"/>
        <w:tblLook w:val="04A0"/>
      </w:tblPr>
      <w:tblGrid>
        <w:gridCol w:w="2403"/>
        <w:gridCol w:w="4257"/>
      </w:tblGrid>
      <w:tr w:rsidR="00B70F88" w:rsidRPr="00A64B9D" w:rsidTr="006226F4">
        <w:trPr>
          <w:trHeight w:val="431"/>
        </w:trPr>
        <w:tc>
          <w:tcPr>
            <w:tcW w:w="2403" w:type="dxa"/>
            <w:tcBorders>
              <w:top w:val="single" w:sz="4" w:space="0" w:color="auto"/>
              <w:left w:val="single" w:sz="4" w:space="0" w:color="auto"/>
              <w:bottom w:val="single" w:sz="4" w:space="0" w:color="auto"/>
              <w:right w:val="single" w:sz="4" w:space="0" w:color="auto"/>
            </w:tcBorders>
            <w:shd w:val="clear" w:color="000000" w:fill="17375D"/>
            <w:noWrap/>
            <w:vAlign w:val="center"/>
            <w:hideMark/>
          </w:tcPr>
          <w:p w:rsidR="00B70F88" w:rsidRPr="00A64B9D" w:rsidRDefault="00B70F88" w:rsidP="006226F4">
            <w:pPr>
              <w:jc w:val="center"/>
              <w:rPr>
                <w:rFonts w:ascii="Arial" w:hAnsi="Arial" w:cs="Arial"/>
                <w:b/>
                <w:bCs/>
                <w:color w:val="FFFFFF"/>
                <w:sz w:val="24"/>
                <w:szCs w:val="24"/>
              </w:rPr>
            </w:pPr>
            <w:r w:rsidRPr="00A64B9D">
              <w:rPr>
                <w:rFonts w:ascii="Arial" w:hAnsi="Arial" w:cs="Arial"/>
                <w:b/>
                <w:bCs/>
                <w:color w:val="FFFFFF"/>
                <w:sz w:val="24"/>
                <w:szCs w:val="24"/>
              </w:rPr>
              <w:t>Year</w:t>
            </w:r>
          </w:p>
        </w:tc>
        <w:tc>
          <w:tcPr>
            <w:tcW w:w="4257" w:type="dxa"/>
            <w:tcBorders>
              <w:top w:val="single" w:sz="4" w:space="0" w:color="auto"/>
              <w:left w:val="nil"/>
              <w:bottom w:val="single" w:sz="4" w:space="0" w:color="auto"/>
              <w:right w:val="single" w:sz="4" w:space="0" w:color="auto"/>
            </w:tcBorders>
            <w:shd w:val="clear" w:color="000000" w:fill="17375D"/>
            <w:vAlign w:val="center"/>
            <w:hideMark/>
          </w:tcPr>
          <w:p w:rsidR="00B70F88" w:rsidRPr="00A64B9D" w:rsidRDefault="00B70F88" w:rsidP="006226F4">
            <w:pPr>
              <w:jc w:val="center"/>
              <w:rPr>
                <w:rFonts w:ascii="Arial" w:hAnsi="Arial" w:cs="Arial"/>
                <w:b/>
                <w:bCs/>
                <w:color w:val="FFFFFF"/>
                <w:sz w:val="24"/>
                <w:szCs w:val="24"/>
              </w:rPr>
            </w:pPr>
            <w:r w:rsidRPr="00A64B9D">
              <w:rPr>
                <w:rFonts w:ascii="Arial" w:hAnsi="Arial" w:cs="Arial"/>
                <w:b/>
                <w:bCs/>
                <w:color w:val="FFFFFF"/>
                <w:sz w:val="24"/>
                <w:szCs w:val="24"/>
              </w:rPr>
              <w:t>Artisan Remuneration (Rs. In crs)</w:t>
            </w:r>
          </w:p>
        </w:tc>
      </w:tr>
      <w:tr w:rsidR="00B70F88" w:rsidRPr="00A64B9D" w:rsidTr="006226F4">
        <w:trPr>
          <w:trHeight w:val="306"/>
        </w:trPr>
        <w:tc>
          <w:tcPr>
            <w:tcW w:w="2403" w:type="dxa"/>
            <w:tcBorders>
              <w:top w:val="nil"/>
              <w:left w:val="single" w:sz="4" w:space="0" w:color="auto"/>
              <w:bottom w:val="single" w:sz="4" w:space="0" w:color="auto"/>
              <w:right w:val="single" w:sz="4" w:space="0" w:color="auto"/>
            </w:tcBorders>
            <w:shd w:val="clear" w:color="auto" w:fill="auto"/>
            <w:vAlign w:val="bottom"/>
            <w:hideMark/>
          </w:tcPr>
          <w:p w:rsidR="00B70F88" w:rsidRPr="00A64B9D" w:rsidRDefault="00B70F88" w:rsidP="006226F4">
            <w:pPr>
              <w:jc w:val="center"/>
              <w:rPr>
                <w:rFonts w:ascii="Arial" w:hAnsi="Arial" w:cs="Arial"/>
                <w:b/>
                <w:bCs/>
                <w:color w:val="000000"/>
                <w:sz w:val="24"/>
                <w:szCs w:val="24"/>
              </w:rPr>
            </w:pPr>
            <w:r w:rsidRPr="00A64B9D">
              <w:rPr>
                <w:rFonts w:ascii="Arial" w:hAnsi="Arial" w:cs="Arial"/>
                <w:b/>
                <w:bCs/>
                <w:color w:val="000000"/>
                <w:sz w:val="24"/>
                <w:szCs w:val="24"/>
              </w:rPr>
              <w:t>FY 2014-15</w:t>
            </w:r>
          </w:p>
        </w:tc>
        <w:tc>
          <w:tcPr>
            <w:tcW w:w="4257" w:type="dxa"/>
            <w:tcBorders>
              <w:top w:val="nil"/>
              <w:left w:val="nil"/>
              <w:bottom w:val="single" w:sz="4" w:space="0" w:color="auto"/>
              <w:right w:val="single" w:sz="4" w:space="0" w:color="auto"/>
            </w:tcBorders>
            <w:shd w:val="clear" w:color="auto" w:fill="auto"/>
            <w:vAlign w:val="bottom"/>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52.45</w:t>
            </w:r>
          </w:p>
        </w:tc>
      </w:tr>
      <w:tr w:rsidR="00B70F88" w:rsidRPr="00A64B9D" w:rsidTr="006226F4">
        <w:trPr>
          <w:trHeight w:val="306"/>
        </w:trPr>
        <w:tc>
          <w:tcPr>
            <w:tcW w:w="2403" w:type="dxa"/>
            <w:tcBorders>
              <w:top w:val="nil"/>
              <w:left w:val="single" w:sz="4" w:space="0" w:color="auto"/>
              <w:bottom w:val="single" w:sz="4" w:space="0" w:color="auto"/>
              <w:right w:val="single" w:sz="4" w:space="0" w:color="auto"/>
            </w:tcBorders>
            <w:shd w:val="clear" w:color="auto" w:fill="auto"/>
            <w:vAlign w:val="bottom"/>
            <w:hideMark/>
          </w:tcPr>
          <w:p w:rsidR="00B70F88" w:rsidRPr="00A64B9D" w:rsidRDefault="00B70F88" w:rsidP="006226F4">
            <w:pPr>
              <w:jc w:val="center"/>
              <w:rPr>
                <w:rFonts w:ascii="Arial" w:hAnsi="Arial" w:cs="Arial"/>
                <w:b/>
                <w:bCs/>
                <w:color w:val="000000"/>
                <w:sz w:val="24"/>
                <w:szCs w:val="24"/>
              </w:rPr>
            </w:pPr>
            <w:r w:rsidRPr="00A64B9D">
              <w:rPr>
                <w:rFonts w:ascii="Arial" w:hAnsi="Arial" w:cs="Arial"/>
                <w:b/>
                <w:bCs/>
                <w:color w:val="000000"/>
                <w:sz w:val="24"/>
                <w:szCs w:val="24"/>
              </w:rPr>
              <w:t>FY 2015-16</w:t>
            </w:r>
          </w:p>
        </w:tc>
        <w:tc>
          <w:tcPr>
            <w:tcW w:w="4257" w:type="dxa"/>
            <w:tcBorders>
              <w:top w:val="nil"/>
              <w:left w:val="nil"/>
              <w:bottom w:val="single" w:sz="4" w:space="0" w:color="auto"/>
              <w:right w:val="single" w:sz="4" w:space="0" w:color="auto"/>
            </w:tcBorders>
            <w:shd w:val="clear" w:color="auto" w:fill="auto"/>
            <w:vAlign w:val="bottom"/>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63.70</w:t>
            </w:r>
          </w:p>
        </w:tc>
      </w:tr>
      <w:tr w:rsidR="00B70F88" w:rsidRPr="00A64B9D" w:rsidTr="006226F4">
        <w:trPr>
          <w:trHeight w:val="306"/>
        </w:trPr>
        <w:tc>
          <w:tcPr>
            <w:tcW w:w="2403" w:type="dxa"/>
            <w:tcBorders>
              <w:top w:val="nil"/>
              <w:left w:val="single" w:sz="4" w:space="0" w:color="auto"/>
              <w:bottom w:val="single" w:sz="4" w:space="0" w:color="auto"/>
              <w:right w:val="single" w:sz="4" w:space="0" w:color="auto"/>
            </w:tcBorders>
            <w:shd w:val="clear" w:color="auto" w:fill="auto"/>
            <w:vAlign w:val="bottom"/>
            <w:hideMark/>
          </w:tcPr>
          <w:p w:rsidR="00B70F88" w:rsidRPr="00A64B9D" w:rsidRDefault="00B70F88" w:rsidP="006226F4">
            <w:pPr>
              <w:jc w:val="center"/>
              <w:rPr>
                <w:rFonts w:ascii="Arial" w:hAnsi="Arial" w:cs="Arial"/>
                <w:b/>
                <w:bCs/>
                <w:color w:val="000000"/>
                <w:sz w:val="24"/>
                <w:szCs w:val="24"/>
              </w:rPr>
            </w:pPr>
            <w:r w:rsidRPr="00A64B9D">
              <w:rPr>
                <w:rFonts w:ascii="Arial" w:hAnsi="Arial" w:cs="Arial"/>
                <w:b/>
                <w:bCs/>
                <w:color w:val="000000"/>
                <w:sz w:val="24"/>
                <w:szCs w:val="24"/>
              </w:rPr>
              <w:t>FY 2016-17</w:t>
            </w:r>
          </w:p>
        </w:tc>
        <w:tc>
          <w:tcPr>
            <w:tcW w:w="4257" w:type="dxa"/>
            <w:tcBorders>
              <w:top w:val="nil"/>
              <w:left w:val="nil"/>
              <w:bottom w:val="single" w:sz="4" w:space="0" w:color="auto"/>
              <w:right w:val="single" w:sz="4" w:space="0" w:color="auto"/>
            </w:tcBorders>
            <w:shd w:val="clear" w:color="auto" w:fill="auto"/>
            <w:vAlign w:val="bottom"/>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71.07</w:t>
            </w:r>
          </w:p>
        </w:tc>
      </w:tr>
      <w:tr w:rsidR="00B70F88" w:rsidRPr="00A64B9D" w:rsidTr="006226F4">
        <w:trPr>
          <w:trHeight w:val="306"/>
        </w:trPr>
        <w:tc>
          <w:tcPr>
            <w:tcW w:w="2403" w:type="dxa"/>
            <w:tcBorders>
              <w:top w:val="nil"/>
              <w:left w:val="single" w:sz="4" w:space="0" w:color="auto"/>
              <w:bottom w:val="single" w:sz="4" w:space="0" w:color="auto"/>
              <w:right w:val="single" w:sz="4" w:space="0" w:color="auto"/>
            </w:tcBorders>
            <w:shd w:val="clear" w:color="auto" w:fill="auto"/>
            <w:vAlign w:val="bottom"/>
            <w:hideMark/>
          </w:tcPr>
          <w:p w:rsidR="00B70F88" w:rsidRPr="00A64B9D" w:rsidRDefault="00B70F88" w:rsidP="006226F4">
            <w:pPr>
              <w:jc w:val="center"/>
              <w:rPr>
                <w:rFonts w:ascii="Arial" w:hAnsi="Arial" w:cs="Arial"/>
                <w:b/>
                <w:bCs/>
                <w:color w:val="000000"/>
                <w:sz w:val="24"/>
                <w:szCs w:val="24"/>
              </w:rPr>
            </w:pPr>
            <w:r w:rsidRPr="00A64B9D">
              <w:rPr>
                <w:rFonts w:ascii="Arial" w:hAnsi="Arial" w:cs="Arial"/>
                <w:b/>
                <w:bCs/>
                <w:color w:val="000000"/>
                <w:sz w:val="24"/>
                <w:szCs w:val="24"/>
              </w:rPr>
              <w:t>FY 2017-18</w:t>
            </w:r>
          </w:p>
        </w:tc>
        <w:tc>
          <w:tcPr>
            <w:tcW w:w="4257" w:type="dxa"/>
            <w:tcBorders>
              <w:top w:val="nil"/>
              <w:left w:val="nil"/>
              <w:bottom w:val="single" w:sz="4" w:space="0" w:color="auto"/>
              <w:right w:val="single" w:sz="4" w:space="0" w:color="auto"/>
            </w:tcBorders>
            <w:shd w:val="clear" w:color="auto" w:fill="auto"/>
            <w:vAlign w:val="bottom"/>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76.66</w:t>
            </w:r>
          </w:p>
        </w:tc>
      </w:tr>
      <w:tr w:rsidR="00B70F88" w:rsidRPr="00A64B9D" w:rsidTr="006226F4">
        <w:trPr>
          <w:trHeight w:val="306"/>
        </w:trPr>
        <w:tc>
          <w:tcPr>
            <w:tcW w:w="2403" w:type="dxa"/>
            <w:tcBorders>
              <w:top w:val="nil"/>
              <w:left w:val="single" w:sz="4" w:space="0" w:color="auto"/>
              <w:bottom w:val="single" w:sz="4" w:space="0" w:color="auto"/>
              <w:right w:val="single" w:sz="4" w:space="0" w:color="auto"/>
            </w:tcBorders>
            <w:shd w:val="clear" w:color="auto" w:fill="auto"/>
            <w:vAlign w:val="bottom"/>
            <w:hideMark/>
          </w:tcPr>
          <w:p w:rsidR="00B70F88" w:rsidRPr="00A64B9D" w:rsidRDefault="00B70F88" w:rsidP="006226F4">
            <w:pPr>
              <w:jc w:val="center"/>
              <w:rPr>
                <w:rFonts w:ascii="Arial" w:hAnsi="Arial" w:cs="Arial"/>
                <w:b/>
                <w:bCs/>
                <w:color w:val="000000"/>
                <w:sz w:val="24"/>
                <w:szCs w:val="24"/>
              </w:rPr>
            </w:pPr>
            <w:r w:rsidRPr="00A64B9D">
              <w:rPr>
                <w:rFonts w:ascii="Arial" w:hAnsi="Arial" w:cs="Arial"/>
                <w:b/>
                <w:bCs/>
                <w:color w:val="000000"/>
                <w:sz w:val="24"/>
                <w:szCs w:val="24"/>
              </w:rPr>
              <w:t>FY 2018-19</w:t>
            </w:r>
          </w:p>
        </w:tc>
        <w:tc>
          <w:tcPr>
            <w:tcW w:w="4257" w:type="dxa"/>
            <w:tcBorders>
              <w:top w:val="nil"/>
              <w:left w:val="nil"/>
              <w:bottom w:val="single" w:sz="4" w:space="0" w:color="auto"/>
              <w:right w:val="single" w:sz="4" w:space="0" w:color="auto"/>
            </w:tcBorders>
            <w:shd w:val="clear" w:color="auto" w:fill="auto"/>
            <w:vAlign w:val="bottom"/>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108.57</w:t>
            </w:r>
          </w:p>
        </w:tc>
      </w:tr>
    </w:tbl>
    <w:p w:rsidR="00B70F88" w:rsidRPr="00A64B9D" w:rsidRDefault="00B70F88" w:rsidP="00B70F88">
      <w:pPr>
        <w:pStyle w:val="ListParagraph"/>
        <w:spacing w:after="200" w:line="360" w:lineRule="auto"/>
        <w:ind w:left="1890"/>
        <w:contextualSpacing/>
        <w:jc w:val="both"/>
        <w:rPr>
          <w:rFonts w:ascii="Arial" w:eastAsia="Arial" w:hAnsi="Arial" w:cs="Arial"/>
          <w:sz w:val="24"/>
          <w:szCs w:val="24"/>
        </w:rPr>
      </w:pPr>
    </w:p>
    <w:p w:rsidR="00B70F88" w:rsidRPr="00A64B9D" w:rsidRDefault="00B70F88" w:rsidP="00B70F88">
      <w:pPr>
        <w:pStyle w:val="ListParagraph"/>
        <w:numPr>
          <w:ilvl w:val="0"/>
          <w:numId w:val="5"/>
        </w:numPr>
        <w:spacing w:after="200" w:line="360" w:lineRule="auto"/>
        <w:ind w:left="1890"/>
        <w:contextualSpacing/>
        <w:jc w:val="both"/>
        <w:rPr>
          <w:rFonts w:ascii="Arial" w:eastAsia="Arial" w:hAnsi="Arial" w:cs="Arial"/>
          <w:sz w:val="24"/>
          <w:szCs w:val="24"/>
        </w:rPr>
      </w:pPr>
      <w:r w:rsidRPr="00A64B9D">
        <w:rPr>
          <w:rFonts w:ascii="Arial" w:eastAsia="Arial" w:hAnsi="Arial" w:cs="Arial"/>
          <w:b/>
          <w:sz w:val="24"/>
          <w:szCs w:val="24"/>
        </w:rPr>
        <w:t>Terminal Benefits as per Actuarial Valuation report:</w:t>
      </w:r>
    </w:p>
    <w:p w:rsidR="00B70F88" w:rsidRPr="00A64B9D" w:rsidRDefault="00B70F88" w:rsidP="00B70F88">
      <w:pPr>
        <w:tabs>
          <w:tab w:val="left" w:pos="540"/>
          <w:tab w:val="left" w:pos="900"/>
        </w:tabs>
        <w:spacing w:line="360" w:lineRule="auto"/>
        <w:ind w:left="1800"/>
        <w:jc w:val="both"/>
        <w:rPr>
          <w:rFonts w:ascii="Arial" w:eastAsia="Arial" w:hAnsi="Arial" w:cs="Arial"/>
          <w:sz w:val="24"/>
          <w:szCs w:val="24"/>
        </w:rPr>
      </w:pPr>
      <w:r w:rsidRPr="00A64B9D">
        <w:rPr>
          <w:rFonts w:ascii="Arial" w:eastAsia="Arial" w:hAnsi="Arial" w:cs="Arial"/>
          <w:sz w:val="24"/>
          <w:szCs w:val="24"/>
        </w:rPr>
        <w:t>The Licensee has made the Actuarial Valuation towards Pension and Gratuity Provision and Final EL Encashment Provisions in respect of Employees retired/to be retired. Accordingly the Pension Contribution has been approved based on the Actuarial Valuation report. This has resulted in increase in provision for terminal benefit.</w:t>
      </w:r>
    </w:p>
    <w:p w:rsidR="00B70F88" w:rsidRPr="00A64B9D" w:rsidRDefault="00B70F88" w:rsidP="00B70F88">
      <w:pPr>
        <w:tabs>
          <w:tab w:val="left" w:pos="450"/>
        </w:tabs>
        <w:spacing w:line="360" w:lineRule="auto"/>
        <w:jc w:val="both"/>
        <w:rPr>
          <w:rFonts w:ascii="Arial" w:eastAsia="Arial" w:hAnsi="Arial" w:cs="Arial"/>
          <w:sz w:val="24"/>
          <w:szCs w:val="24"/>
          <w:highlight w:val="yellow"/>
        </w:rPr>
      </w:pPr>
    </w:p>
    <w:tbl>
      <w:tblPr>
        <w:tblW w:w="7795" w:type="dxa"/>
        <w:tblInd w:w="1334" w:type="dxa"/>
        <w:tblLook w:val="04A0"/>
      </w:tblPr>
      <w:tblGrid>
        <w:gridCol w:w="2795"/>
        <w:gridCol w:w="1000"/>
        <w:gridCol w:w="1000"/>
        <w:gridCol w:w="1000"/>
        <w:gridCol w:w="1000"/>
        <w:gridCol w:w="1000"/>
      </w:tblGrid>
      <w:tr w:rsidR="00B70F88" w:rsidRPr="00A64B9D" w:rsidTr="006226F4">
        <w:trPr>
          <w:trHeight w:val="630"/>
        </w:trPr>
        <w:tc>
          <w:tcPr>
            <w:tcW w:w="2795" w:type="dxa"/>
            <w:tcBorders>
              <w:top w:val="single" w:sz="4" w:space="0" w:color="auto"/>
              <w:left w:val="single" w:sz="4" w:space="0" w:color="auto"/>
              <w:bottom w:val="single" w:sz="4" w:space="0" w:color="auto"/>
              <w:right w:val="single" w:sz="4" w:space="0" w:color="auto"/>
            </w:tcBorders>
            <w:shd w:val="clear" w:color="000000" w:fill="17375D"/>
            <w:noWrap/>
            <w:vAlign w:val="center"/>
            <w:hideMark/>
          </w:tcPr>
          <w:p w:rsidR="00B70F88" w:rsidRPr="00A45EA8" w:rsidRDefault="00B70F88" w:rsidP="006226F4">
            <w:pPr>
              <w:jc w:val="center"/>
              <w:rPr>
                <w:rFonts w:ascii="Arial" w:hAnsi="Arial" w:cs="Arial"/>
                <w:b/>
                <w:bCs/>
                <w:color w:val="FFFFFF"/>
              </w:rPr>
            </w:pPr>
            <w:r w:rsidRPr="00A45EA8">
              <w:rPr>
                <w:rFonts w:ascii="Arial" w:hAnsi="Arial" w:cs="Arial"/>
                <w:b/>
                <w:bCs/>
                <w:color w:val="FFFFFF"/>
              </w:rPr>
              <w:t>Particulars (Rs. in Crores)</w:t>
            </w:r>
          </w:p>
        </w:tc>
        <w:tc>
          <w:tcPr>
            <w:tcW w:w="1000"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rPr>
            </w:pPr>
            <w:r w:rsidRPr="00A45EA8">
              <w:rPr>
                <w:rFonts w:ascii="Arial" w:hAnsi="Arial" w:cs="Arial"/>
                <w:b/>
                <w:bCs/>
                <w:color w:val="FFFFFF"/>
              </w:rPr>
              <w:t>2014-15</w:t>
            </w:r>
          </w:p>
        </w:tc>
        <w:tc>
          <w:tcPr>
            <w:tcW w:w="1000"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rPr>
            </w:pPr>
            <w:r w:rsidRPr="00A45EA8">
              <w:rPr>
                <w:rFonts w:ascii="Arial" w:hAnsi="Arial" w:cs="Arial"/>
                <w:b/>
                <w:bCs/>
                <w:color w:val="FFFFFF"/>
              </w:rPr>
              <w:t>2015-16</w:t>
            </w:r>
          </w:p>
        </w:tc>
        <w:tc>
          <w:tcPr>
            <w:tcW w:w="1000"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rPr>
            </w:pPr>
            <w:r w:rsidRPr="00A45EA8">
              <w:rPr>
                <w:rFonts w:ascii="Arial" w:hAnsi="Arial" w:cs="Arial"/>
                <w:b/>
                <w:bCs/>
                <w:color w:val="FFFFFF"/>
              </w:rPr>
              <w:t>2016-17</w:t>
            </w:r>
          </w:p>
        </w:tc>
        <w:tc>
          <w:tcPr>
            <w:tcW w:w="1000"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rPr>
            </w:pPr>
            <w:r w:rsidRPr="00A45EA8">
              <w:rPr>
                <w:rFonts w:ascii="Arial" w:hAnsi="Arial" w:cs="Arial"/>
                <w:b/>
                <w:bCs/>
                <w:color w:val="FFFFFF"/>
              </w:rPr>
              <w:t>2017-18</w:t>
            </w:r>
          </w:p>
        </w:tc>
        <w:tc>
          <w:tcPr>
            <w:tcW w:w="1000"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rPr>
            </w:pPr>
            <w:r w:rsidRPr="00A45EA8">
              <w:rPr>
                <w:rFonts w:ascii="Arial" w:hAnsi="Arial" w:cs="Arial"/>
                <w:b/>
                <w:bCs/>
                <w:color w:val="FFFFFF"/>
              </w:rPr>
              <w:t>2018-19</w:t>
            </w:r>
          </w:p>
        </w:tc>
      </w:tr>
      <w:tr w:rsidR="00B70F88" w:rsidRPr="00A64B9D" w:rsidTr="006226F4">
        <w:trPr>
          <w:trHeight w:val="315"/>
        </w:trPr>
        <w:tc>
          <w:tcPr>
            <w:tcW w:w="2795" w:type="dxa"/>
            <w:tcBorders>
              <w:top w:val="nil"/>
              <w:left w:val="single" w:sz="4" w:space="0" w:color="auto"/>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EL Encashment</w:t>
            </w:r>
          </w:p>
        </w:tc>
        <w:tc>
          <w:tcPr>
            <w:tcW w:w="1000"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49.52</w:t>
            </w:r>
          </w:p>
        </w:tc>
        <w:tc>
          <w:tcPr>
            <w:tcW w:w="1000"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49.04</w:t>
            </w:r>
          </w:p>
        </w:tc>
        <w:tc>
          <w:tcPr>
            <w:tcW w:w="1000"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61.87</w:t>
            </w:r>
          </w:p>
        </w:tc>
        <w:tc>
          <w:tcPr>
            <w:tcW w:w="1000"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43.66</w:t>
            </w:r>
          </w:p>
        </w:tc>
        <w:tc>
          <w:tcPr>
            <w:tcW w:w="1000"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187.68</w:t>
            </w:r>
          </w:p>
        </w:tc>
      </w:tr>
      <w:tr w:rsidR="00B70F88" w:rsidRPr="00A64B9D" w:rsidTr="006226F4">
        <w:trPr>
          <w:trHeight w:val="315"/>
        </w:trPr>
        <w:tc>
          <w:tcPr>
            <w:tcW w:w="2795" w:type="dxa"/>
            <w:tcBorders>
              <w:top w:val="nil"/>
              <w:left w:val="single" w:sz="4" w:space="0" w:color="auto"/>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Terminal benefits</w:t>
            </w:r>
          </w:p>
        </w:tc>
        <w:tc>
          <w:tcPr>
            <w:tcW w:w="1000"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172.74</w:t>
            </w:r>
          </w:p>
        </w:tc>
        <w:tc>
          <w:tcPr>
            <w:tcW w:w="1000"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115.81</w:t>
            </w:r>
          </w:p>
        </w:tc>
        <w:tc>
          <w:tcPr>
            <w:tcW w:w="1000"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100.64</w:t>
            </w:r>
          </w:p>
        </w:tc>
        <w:tc>
          <w:tcPr>
            <w:tcW w:w="1000"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-13.27</w:t>
            </w:r>
          </w:p>
        </w:tc>
        <w:tc>
          <w:tcPr>
            <w:tcW w:w="1000"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469.73</w:t>
            </w:r>
          </w:p>
        </w:tc>
      </w:tr>
    </w:tbl>
    <w:p w:rsidR="00B70F88" w:rsidRDefault="00B70F88" w:rsidP="00B70F88">
      <w:pPr>
        <w:tabs>
          <w:tab w:val="left" w:pos="1134"/>
        </w:tabs>
        <w:spacing w:line="360" w:lineRule="auto"/>
        <w:jc w:val="both"/>
        <w:rPr>
          <w:rFonts w:ascii="Arial" w:eastAsia="Arial" w:hAnsi="Arial" w:cs="Arial"/>
          <w:sz w:val="24"/>
          <w:szCs w:val="24"/>
          <w:highlight w:val="yellow"/>
        </w:rPr>
      </w:pPr>
    </w:p>
    <w:p w:rsidR="00B70F88" w:rsidRDefault="00B70F88" w:rsidP="00B70F88">
      <w:pPr>
        <w:tabs>
          <w:tab w:val="left" w:pos="1134"/>
        </w:tabs>
        <w:spacing w:line="360" w:lineRule="auto"/>
        <w:jc w:val="both"/>
        <w:rPr>
          <w:rFonts w:ascii="Arial" w:eastAsia="Arial" w:hAnsi="Arial" w:cs="Arial"/>
          <w:sz w:val="24"/>
          <w:szCs w:val="24"/>
          <w:highlight w:val="yellow"/>
        </w:rPr>
      </w:pPr>
    </w:p>
    <w:p w:rsidR="00B0532B" w:rsidRPr="00A64B9D" w:rsidRDefault="00B0532B" w:rsidP="00B70F88">
      <w:pPr>
        <w:tabs>
          <w:tab w:val="left" w:pos="1134"/>
        </w:tabs>
        <w:spacing w:line="360" w:lineRule="auto"/>
        <w:jc w:val="both"/>
        <w:rPr>
          <w:rFonts w:ascii="Arial" w:eastAsia="Arial" w:hAnsi="Arial" w:cs="Arial"/>
          <w:sz w:val="24"/>
          <w:szCs w:val="24"/>
          <w:highlight w:val="yellow"/>
        </w:rPr>
      </w:pPr>
    </w:p>
    <w:p w:rsidR="00B70F88" w:rsidRPr="00A64B9D" w:rsidRDefault="00B70F88" w:rsidP="00B70F88">
      <w:pPr>
        <w:pStyle w:val="ListParagraph"/>
        <w:numPr>
          <w:ilvl w:val="0"/>
          <w:numId w:val="4"/>
        </w:numPr>
        <w:spacing w:after="200" w:line="360" w:lineRule="auto"/>
        <w:jc w:val="both"/>
        <w:rPr>
          <w:rFonts w:ascii="Arial" w:hAnsi="Arial" w:cs="Arial"/>
          <w:b/>
          <w:sz w:val="24"/>
          <w:szCs w:val="24"/>
        </w:rPr>
      </w:pPr>
      <w:r w:rsidRPr="00A64B9D">
        <w:rPr>
          <w:rFonts w:ascii="Arial" w:hAnsi="Arial" w:cs="Arial"/>
          <w:b/>
          <w:sz w:val="24"/>
          <w:szCs w:val="24"/>
        </w:rPr>
        <w:lastRenderedPageBreak/>
        <w:t>A&amp;G Expenses</w:t>
      </w:r>
    </w:p>
    <w:p w:rsidR="00B70F88" w:rsidRPr="00A64B9D" w:rsidRDefault="00B70F88" w:rsidP="00B70F88">
      <w:pPr>
        <w:tabs>
          <w:tab w:val="left" w:pos="540"/>
          <w:tab w:val="left" w:pos="900"/>
        </w:tabs>
        <w:spacing w:line="360" w:lineRule="auto"/>
        <w:ind w:left="1152"/>
        <w:jc w:val="both"/>
        <w:rPr>
          <w:rFonts w:ascii="Arial" w:eastAsia="Arial" w:hAnsi="Arial" w:cs="Arial"/>
          <w:sz w:val="24"/>
          <w:szCs w:val="24"/>
        </w:rPr>
      </w:pPr>
      <w:r w:rsidRPr="00A64B9D">
        <w:rPr>
          <w:rFonts w:ascii="Arial" w:eastAsia="Arial" w:hAnsi="Arial" w:cs="Arial"/>
          <w:sz w:val="24"/>
          <w:szCs w:val="24"/>
        </w:rPr>
        <w:t>Increase in travelling expenditure and vehicle hire charges due to rigorous inspection of field units, unforeseen hike in fuel cost, etc caused rise in Administration and General Expenses. The vehicle running expenses during 2014-15 to 2018-19 has been shown below.</w:t>
      </w:r>
    </w:p>
    <w:p w:rsidR="00B70F88" w:rsidRPr="00A64B9D" w:rsidRDefault="00B70F88" w:rsidP="00B70F88">
      <w:pPr>
        <w:spacing w:line="360" w:lineRule="auto"/>
        <w:ind w:left="806"/>
        <w:contextualSpacing/>
        <w:jc w:val="right"/>
        <w:rPr>
          <w:rFonts w:ascii="Arial" w:eastAsia="Arial" w:hAnsi="Arial" w:cs="Arial"/>
          <w:b/>
          <w:sz w:val="24"/>
          <w:szCs w:val="24"/>
        </w:rPr>
      </w:pPr>
      <w:r w:rsidRPr="00A64B9D">
        <w:rPr>
          <w:rFonts w:ascii="Arial" w:eastAsia="Arial" w:hAnsi="Arial" w:cs="Arial"/>
          <w:sz w:val="24"/>
          <w:szCs w:val="24"/>
        </w:rPr>
        <w:t xml:space="preserve">                                                                                                       </w:t>
      </w:r>
      <w:r w:rsidRPr="00A64B9D">
        <w:rPr>
          <w:rFonts w:ascii="Arial" w:hAnsi="Arial" w:cs="Arial"/>
          <w:b/>
          <w:sz w:val="24"/>
          <w:szCs w:val="24"/>
        </w:rPr>
        <w:t>All figures in Rs. Crs.</w:t>
      </w:r>
    </w:p>
    <w:tbl>
      <w:tblPr>
        <w:tblW w:w="8709" w:type="dxa"/>
        <w:tblInd w:w="779" w:type="dxa"/>
        <w:tblLook w:val="04A0"/>
      </w:tblPr>
      <w:tblGrid>
        <w:gridCol w:w="3239"/>
        <w:gridCol w:w="1094"/>
        <w:gridCol w:w="1094"/>
        <w:gridCol w:w="1094"/>
        <w:gridCol w:w="1094"/>
        <w:gridCol w:w="1094"/>
      </w:tblGrid>
      <w:tr w:rsidR="00B70F88" w:rsidRPr="00A64B9D" w:rsidTr="006226F4">
        <w:trPr>
          <w:trHeight w:val="275"/>
        </w:trPr>
        <w:tc>
          <w:tcPr>
            <w:tcW w:w="3239" w:type="dxa"/>
            <w:tcBorders>
              <w:top w:val="single" w:sz="4" w:space="0" w:color="auto"/>
              <w:left w:val="single" w:sz="4" w:space="0" w:color="auto"/>
              <w:bottom w:val="single" w:sz="4" w:space="0" w:color="auto"/>
              <w:right w:val="single" w:sz="4" w:space="0" w:color="auto"/>
            </w:tcBorders>
            <w:shd w:val="clear" w:color="000000" w:fill="17375D"/>
            <w:noWrap/>
            <w:vAlign w:val="center"/>
            <w:hideMark/>
          </w:tcPr>
          <w:p w:rsidR="00B70F88" w:rsidRPr="00A45EA8" w:rsidRDefault="00B70F88" w:rsidP="006226F4">
            <w:pPr>
              <w:jc w:val="center"/>
              <w:rPr>
                <w:rFonts w:ascii="Arial" w:hAnsi="Arial" w:cs="Arial"/>
                <w:b/>
                <w:bCs/>
                <w:color w:val="FFFFFF"/>
                <w:szCs w:val="24"/>
              </w:rPr>
            </w:pPr>
            <w:r w:rsidRPr="00A45EA8">
              <w:rPr>
                <w:rFonts w:ascii="Arial" w:hAnsi="Arial" w:cs="Arial"/>
                <w:b/>
                <w:bCs/>
                <w:color w:val="FFFFFF"/>
                <w:szCs w:val="24"/>
              </w:rPr>
              <w:t>Particulars (Rs. in Crores)</w:t>
            </w:r>
          </w:p>
        </w:tc>
        <w:tc>
          <w:tcPr>
            <w:tcW w:w="1094"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szCs w:val="24"/>
              </w:rPr>
            </w:pPr>
            <w:r w:rsidRPr="00A45EA8">
              <w:rPr>
                <w:rFonts w:ascii="Arial" w:hAnsi="Arial" w:cs="Arial"/>
                <w:b/>
                <w:bCs/>
                <w:color w:val="FFFFFF"/>
                <w:szCs w:val="24"/>
              </w:rPr>
              <w:t>2014-15</w:t>
            </w:r>
          </w:p>
        </w:tc>
        <w:tc>
          <w:tcPr>
            <w:tcW w:w="1094"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szCs w:val="24"/>
              </w:rPr>
            </w:pPr>
            <w:r w:rsidRPr="00A45EA8">
              <w:rPr>
                <w:rFonts w:ascii="Arial" w:hAnsi="Arial" w:cs="Arial"/>
                <w:b/>
                <w:bCs/>
                <w:color w:val="FFFFFF"/>
                <w:szCs w:val="24"/>
              </w:rPr>
              <w:t>2015-16</w:t>
            </w:r>
          </w:p>
        </w:tc>
        <w:tc>
          <w:tcPr>
            <w:tcW w:w="1094"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szCs w:val="24"/>
              </w:rPr>
            </w:pPr>
            <w:r w:rsidRPr="00A45EA8">
              <w:rPr>
                <w:rFonts w:ascii="Arial" w:hAnsi="Arial" w:cs="Arial"/>
                <w:b/>
                <w:bCs/>
                <w:color w:val="FFFFFF"/>
                <w:szCs w:val="24"/>
              </w:rPr>
              <w:t>2016-17</w:t>
            </w:r>
          </w:p>
        </w:tc>
        <w:tc>
          <w:tcPr>
            <w:tcW w:w="1094"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szCs w:val="24"/>
              </w:rPr>
            </w:pPr>
            <w:r w:rsidRPr="00A45EA8">
              <w:rPr>
                <w:rFonts w:ascii="Arial" w:hAnsi="Arial" w:cs="Arial"/>
                <w:b/>
                <w:bCs/>
                <w:color w:val="FFFFFF"/>
                <w:szCs w:val="24"/>
              </w:rPr>
              <w:t>2017-18</w:t>
            </w:r>
          </w:p>
        </w:tc>
        <w:tc>
          <w:tcPr>
            <w:tcW w:w="1094" w:type="dxa"/>
            <w:tcBorders>
              <w:top w:val="nil"/>
              <w:left w:val="nil"/>
              <w:bottom w:val="nil"/>
              <w:right w:val="nil"/>
            </w:tcBorders>
            <w:shd w:val="clear" w:color="000000" w:fill="17375D"/>
            <w:vAlign w:val="center"/>
            <w:hideMark/>
          </w:tcPr>
          <w:p w:rsidR="00B70F88" w:rsidRPr="00A45EA8" w:rsidRDefault="00B70F88" w:rsidP="006226F4">
            <w:pPr>
              <w:jc w:val="center"/>
              <w:rPr>
                <w:rFonts w:ascii="Arial" w:hAnsi="Arial" w:cs="Arial"/>
                <w:b/>
                <w:bCs/>
                <w:color w:val="FFFFFF"/>
                <w:szCs w:val="24"/>
              </w:rPr>
            </w:pPr>
            <w:r w:rsidRPr="00A45EA8">
              <w:rPr>
                <w:rFonts w:ascii="Arial" w:hAnsi="Arial" w:cs="Arial"/>
                <w:b/>
                <w:bCs/>
                <w:color w:val="FFFFFF"/>
                <w:szCs w:val="24"/>
              </w:rPr>
              <w:t>2018-19</w:t>
            </w:r>
          </w:p>
        </w:tc>
      </w:tr>
      <w:tr w:rsidR="00B70F88" w:rsidRPr="00A64B9D" w:rsidTr="006226F4">
        <w:trPr>
          <w:trHeight w:val="330"/>
        </w:trPr>
        <w:tc>
          <w:tcPr>
            <w:tcW w:w="3239" w:type="dxa"/>
            <w:tcBorders>
              <w:top w:val="nil"/>
              <w:left w:val="single" w:sz="4" w:space="0" w:color="auto"/>
              <w:bottom w:val="single" w:sz="4" w:space="0" w:color="auto"/>
              <w:right w:val="single" w:sz="4" w:space="0" w:color="auto"/>
            </w:tcBorders>
            <w:shd w:val="clear" w:color="auto" w:fill="auto"/>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Professional charges (PAA&amp;PCA)</w:t>
            </w:r>
          </w:p>
        </w:tc>
        <w:tc>
          <w:tcPr>
            <w:tcW w:w="1094" w:type="dxa"/>
            <w:tcBorders>
              <w:top w:val="nil"/>
              <w:left w:val="nil"/>
              <w:bottom w:val="single" w:sz="4" w:space="0" w:color="auto"/>
              <w:right w:val="single" w:sz="4" w:space="0" w:color="auto"/>
            </w:tcBorders>
            <w:shd w:val="clear" w:color="auto" w:fill="auto"/>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 xml:space="preserve">      13.14 </w:t>
            </w:r>
          </w:p>
        </w:tc>
        <w:tc>
          <w:tcPr>
            <w:tcW w:w="1094" w:type="dxa"/>
            <w:tcBorders>
              <w:top w:val="nil"/>
              <w:left w:val="nil"/>
              <w:bottom w:val="single" w:sz="4" w:space="0" w:color="auto"/>
              <w:right w:val="single" w:sz="4" w:space="0" w:color="auto"/>
            </w:tcBorders>
            <w:shd w:val="clear" w:color="auto" w:fill="auto"/>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 xml:space="preserve">      13.16 </w:t>
            </w:r>
          </w:p>
        </w:tc>
        <w:tc>
          <w:tcPr>
            <w:tcW w:w="1094" w:type="dxa"/>
            <w:tcBorders>
              <w:top w:val="nil"/>
              <w:left w:val="nil"/>
              <w:bottom w:val="single" w:sz="4" w:space="0" w:color="auto"/>
              <w:right w:val="single" w:sz="4" w:space="0" w:color="auto"/>
            </w:tcBorders>
            <w:shd w:val="clear" w:color="auto" w:fill="auto"/>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 xml:space="preserve">      12.89 </w:t>
            </w:r>
          </w:p>
        </w:tc>
        <w:tc>
          <w:tcPr>
            <w:tcW w:w="1094" w:type="dxa"/>
            <w:tcBorders>
              <w:top w:val="nil"/>
              <w:left w:val="nil"/>
              <w:bottom w:val="single" w:sz="4" w:space="0" w:color="auto"/>
              <w:right w:val="single" w:sz="4" w:space="0" w:color="auto"/>
            </w:tcBorders>
            <w:shd w:val="clear" w:color="auto" w:fill="auto"/>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 xml:space="preserve">      18.32 </w:t>
            </w:r>
          </w:p>
        </w:tc>
        <w:tc>
          <w:tcPr>
            <w:tcW w:w="1094" w:type="dxa"/>
            <w:tcBorders>
              <w:top w:val="single" w:sz="4" w:space="0" w:color="auto"/>
              <w:left w:val="nil"/>
              <w:bottom w:val="single" w:sz="4" w:space="0" w:color="auto"/>
              <w:right w:val="single" w:sz="4" w:space="0" w:color="auto"/>
            </w:tcBorders>
            <w:shd w:val="clear" w:color="auto" w:fill="auto"/>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 xml:space="preserve">      21.79 </w:t>
            </w:r>
          </w:p>
        </w:tc>
      </w:tr>
      <w:tr w:rsidR="00B70F88" w:rsidRPr="00A64B9D" w:rsidTr="006226F4">
        <w:trPr>
          <w:trHeight w:val="275"/>
        </w:trPr>
        <w:tc>
          <w:tcPr>
            <w:tcW w:w="3239" w:type="dxa"/>
            <w:tcBorders>
              <w:top w:val="nil"/>
              <w:left w:val="single" w:sz="4" w:space="0" w:color="auto"/>
              <w:bottom w:val="single" w:sz="4" w:space="0" w:color="auto"/>
              <w:right w:val="single" w:sz="4" w:space="0" w:color="auto"/>
            </w:tcBorders>
            <w:shd w:val="clear" w:color="auto" w:fill="auto"/>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Travelling expenses</w:t>
            </w:r>
          </w:p>
        </w:tc>
        <w:tc>
          <w:tcPr>
            <w:tcW w:w="1094" w:type="dxa"/>
            <w:tcBorders>
              <w:top w:val="nil"/>
              <w:left w:val="nil"/>
              <w:bottom w:val="single" w:sz="4" w:space="0" w:color="auto"/>
              <w:right w:val="single" w:sz="4" w:space="0" w:color="auto"/>
            </w:tcBorders>
            <w:shd w:val="clear" w:color="auto" w:fill="auto"/>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 xml:space="preserve">      10.20 </w:t>
            </w:r>
          </w:p>
        </w:tc>
        <w:tc>
          <w:tcPr>
            <w:tcW w:w="1094" w:type="dxa"/>
            <w:tcBorders>
              <w:top w:val="nil"/>
              <w:left w:val="nil"/>
              <w:bottom w:val="single" w:sz="4" w:space="0" w:color="auto"/>
              <w:right w:val="single" w:sz="4" w:space="0" w:color="auto"/>
            </w:tcBorders>
            <w:shd w:val="clear" w:color="auto" w:fill="auto"/>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 xml:space="preserve">      12.64 </w:t>
            </w:r>
          </w:p>
        </w:tc>
        <w:tc>
          <w:tcPr>
            <w:tcW w:w="1094" w:type="dxa"/>
            <w:tcBorders>
              <w:top w:val="nil"/>
              <w:left w:val="nil"/>
              <w:bottom w:val="single" w:sz="4" w:space="0" w:color="auto"/>
              <w:right w:val="single" w:sz="4" w:space="0" w:color="auto"/>
            </w:tcBorders>
            <w:shd w:val="clear" w:color="auto" w:fill="auto"/>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 xml:space="preserve">      14.11 </w:t>
            </w:r>
          </w:p>
        </w:tc>
        <w:tc>
          <w:tcPr>
            <w:tcW w:w="1094" w:type="dxa"/>
            <w:tcBorders>
              <w:top w:val="nil"/>
              <w:left w:val="nil"/>
              <w:bottom w:val="single" w:sz="4" w:space="0" w:color="auto"/>
              <w:right w:val="single" w:sz="4" w:space="0" w:color="auto"/>
            </w:tcBorders>
            <w:shd w:val="clear" w:color="auto" w:fill="auto"/>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 xml:space="preserve">      12.85 </w:t>
            </w:r>
          </w:p>
        </w:tc>
        <w:tc>
          <w:tcPr>
            <w:tcW w:w="1094" w:type="dxa"/>
            <w:tcBorders>
              <w:top w:val="nil"/>
              <w:left w:val="nil"/>
              <w:bottom w:val="single" w:sz="4" w:space="0" w:color="auto"/>
              <w:right w:val="single" w:sz="4" w:space="0" w:color="auto"/>
            </w:tcBorders>
            <w:shd w:val="clear" w:color="auto" w:fill="auto"/>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 xml:space="preserve">      11.47 </w:t>
            </w:r>
          </w:p>
        </w:tc>
      </w:tr>
      <w:tr w:rsidR="00B70F88" w:rsidRPr="00A64B9D" w:rsidTr="006226F4">
        <w:trPr>
          <w:trHeight w:val="275"/>
        </w:trPr>
        <w:tc>
          <w:tcPr>
            <w:tcW w:w="3239" w:type="dxa"/>
            <w:tcBorders>
              <w:top w:val="nil"/>
              <w:left w:val="single" w:sz="4" w:space="0" w:color="auto"/>
              <w:bottom w:val="single" w:sz="4" w:space="0" w:color="auto"/>
              <w:right w:val="single" w:sz="4" w:space="0" w:color="auto"/>
            </w:tcBorders>
            <w:shd w:val="clear" w:color="auto" w:fill="auto"/>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Vehicle hire &amp; running charges</w:t>
            </w:r>
          </w:p>
        </w:tc>
        <w:tc>
          <w:tcPr>
            <w:tcW w:w="1094" w:type="dxa"/>
            <w:tcBorders>
              <w:top w:val="nil"/>
              <w:left w:val="nil"/>
              <w:bottom w:val="single" w:sz="4" w:space="0" w:color="auto"/>
              <w:right w:val="single" w:sz="4" w:space="0" w:color="auto"/>
            </w:tcBorders>
            <w:shd w:val="clear" w:color="auto" w:fill="auto"/>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 xml:space="preserve">        7.02 </w:t>
            </w:r>
          </w:p>
        </w:tc>
        <w:tc>
          <w:tcPr>
            <w:tcW w:w="1094" w:type="dxa"/>
            <w:tcBorders>
              <w:top w:val="nil"/>
              <w:left w:val="nil"/>
              <w:bottom w:val="single" w:sz="4" w:space="0" w:color="auto"/>
              <w:right w:val="single" w:sz="4" w:space="0" w:color="auto"/>
            </w:tcBorders>
            <w:shd w:val="clear" w:color="auto" w:fill="auto"/>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 xml:space="preserve">        6.81 </w:t>
            </w:r>
          </w:p>
        </w:tc>
        <w:tc>
          <w:tcPr>
            <w:tcW w:w="1094" w:type="dxa"/>
            <w:tcBorders>
              <w:top w:val="nil"/>
              <w:left w:val="nil"/>
              <w:bottom w:val="single" w:sz="4" w:space="0" w:color="auto"/>
              <w:right w:val="single" w:sz="4" w:space="0" w:color="auto"/>
            </w:tcBorders>
            <w:shd w:val="clear" w:color="auto" w:fill="auto"/>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 xml:space="preserve">        7.64 </w:t>
            </w:r>
          </w:p>
        </w:tc>
        <w:tc>
          <w:tcPr>
            <w:tcW w:w="1094" w:type="dxa"/>
            <w:tcBorders>
              <w:top w:val="nil"/>
              <w:left w:val="nil"/>
              <w:bottom w:val="single" w:sz="4" w:space="0" w:color="auto"/>
              <w:right w:val="single" w:sz="4" w:space="0" w:color="auto"/>
            </w:tcBorders>
            <w:shd w:val="clear" w:color="auto" w:fill="auto"/>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 xml:space="preserve">        9.04 </w:t>
            </w:r>
          </w:p>
        </w:tc>
        <w:tc>
          <w:tcPr>
            <w:tcW w:w="1094" w:type="dxa"/>
            <w:tcBorders>
              <w:top w:val="nil"/>
              <w:left w:val="nil"/>
              <w:bottom w:val="single" w:sz="4" w:space="0" w:color="auto"/>
              <w:right w:val="single" w:sz="4" w:space="0" w:color="auto"/>
            </w:tcBorders>
            <w:shd w:val="clear" w:color="auto" w:fill="auto"/>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 xml:space="preserve">        9.92 </w:t>
            </w:r>
          </w:p>
        </w:tc>
      </w:tr>
    </w:tbl>
    <w:p w:rsidR="00B70F88" w:rsidRPr="00A64B9D" w:rsidRDefault="00B70F88" w:rsidP="00B70F88">
      <w:pPr>
        <w:pStyle w:val="ListParagraph"/>
        <w:spacing w:line="360" w:lineRule="auto"/>
        <w:ind w:left="1170"/>
        <w:jc w:val="both"/>
        <w:rPr>
          <w:rFonts w:ascii="Arial" w:hAnsi="Arial" w:cs="Arial"/>
          <w:sz w:val="24"/>
          <w:szCs w:val="24"/>
          <w:highlight w:val="yellow"/>
        </w:rPr>
      </w:pPr>
    </w:p>
    <w:p w:rsidR="00B70F88" w:rsidRPr="00A64B9D" w:rsidRDefault="00B70F88" w:rsidP="00B70F88">
      <w:pPr>
        <w:pStyle w:val="ListParagraph"/>
        <w:numPr>
          <w:ilvl w:val="0"/>
          <w:numId w:val="4"/>
        </w:numPr>
        <w:spacing w:after="200" w:line="360" w:lineRule="auto"/>
        <w:jc w:val="both"/>
        <w:rPr>
          <w:rFonts w:ascii="Arial" w:hAnsi="Arial" w:cs="Arial"/>
          <w:b/>
          <w:sz w:val="24"/>
          <w:szCs w:val="24"/>
        </w:rPr>
      </w:pPr>
      <w:r w:rsidRPr="00A64B9D">
        <w:rPr>
          <w:rFonts w:ascii="Arial" w:hAnsi="Arial" w:cs="Arial"/>
          <w:b/>
          <w:sz w:val="24"/>
          <w:szCs w:val="24"/>
        </w:rPr>
        <w:t>Repairs &amp; Maintenance Expenses</w:t>
      </w:r>
    </w:p>
    <w:p w:rsidR="00B70F88" w:rsidRPr="00A64B9D" w:rsidRDefault="00B70F88" w:rsidP="00B70F88">
      <w:pPr>
        <w:spacing w:line="360" w:lineRule="auto"/>
        <w:ind w:left="1152"/>
        <w:jc w:val="both"/>
        <w:rPr>
          <w:rFonts w:ascii="Arial" w:eastAsia="Arial" w:hAnsi="Arial" w:cs="Arial"/>
          <w:sz w:val="24"/>
          <w:szCs w:val="24"/>
        </w:rPr>
      </w:pPr>
      <w:r w:rsidRPr="00A64B9D">
        <w:rPr>
          <w:rFonts w:ascii="Arial" w:eastAsia="Arial" w:hAnsi="Arial" w:cs="Arial"/>
          <w:sz w:val="24"/>
          <w:szCs w:val="24"/>
        </w:rPr>
        <w:t xml:space="preserve">R&amp;M expenses are linked to Gross Fixed Asset (GFA) which depends on capital expenditure. The Honble Commission has approved a norm of 1.72% of opening Gross fixed assets towards R&amp;M costs in the MYT for third Control period. </w:t>
      </w:r>
      <w:r w:rsidRPr="009E3E44">
        <w:rPr>
          <w:rFonts w:ascii="Arial" w:eastAsia="Arial" w:hAnsi="Arial" w:cs="Arial"/>
          <w:sz w:val="24"/>
          <w:szCs w:val="24"/>
        </w:rPr>
        <w:t>However, the actual R&amp;M expenses as a percentage of average Gross Fixed assets during the control period is about 2.34%.</w:t>
      </w:r>
      <w:r w:rsidRPr="00A64B9D">
        <w:rPr>
          <w:rFonts w:ascii="Arial" w:eastAsia="Arial" w:hAnsi="Arial" w:cs="Arial"/>
          <w:sz w:val="24"/>
          <w:szCs w:val="24"/>
        </w:rPr>
        <w:t xml:space="preserve"> This has shown overall increase in R&amp;M expenses as compared to Approved values.</w:t>
      </w:r>
      <w:r w:rsidRPr="00A64B9D">
        <w:rPr>
          <w:rFonts w:ascii="Arial" w:hAnsi="Arial" w:cs="Arial"/>
          <w:sz w:val="24"/>
          <w:szCs w:val="24"/>
        </w:rPr>
        <w:t xml:space="preserve"> </w:t>
      </w:r>
      <w:r w:rsidRPr="00A64B9D">
        <w:rPr>
          <w:rFonts w:ascii="Arial" w:eastAsia="Arial" w:hAnsi="Arial" w:cs="Arial"/>
          <w:sz w:val="24"/>
          <w:szCs w:val="24"/>
        </w:rPr>
        <w:t>This is mainly due to the reason that the charges pertains to contract labour are majorly grouped under Repairs and Maintenance head of the O&amp;M cost till middle of the FY 2017-18. From 2017-18 onwards these charges are merged in Employee cost after regularising the services of contract labour as Artisans.</w:t>
      </w:r>
    </w:p>
    <w:p w:rsidR="00B70F88" w:rsidRPr="00A45EA8" w:rsidRDefault="00B70F88" w:rsidP="00B70F88">
      <w:pPr>
        <w:spacing w:line="360" w:lineRule="auto"/>
        <w:ind w:left="1152"/>
        <w:jc w:val="both"/>
        <w:rPr>
          <w:rFonts w:ascii="Arial" w:eastAsia="Arial" w:hAnsi="Arial" w:cs="Arial"/>
          <w:sz w:val="24"/>
          <w:szCs w:val="24"/>
        </w:rPr>
      </w:pPr>
      <w:r w:rsidRPr="00A64B9D">
        <w:rPr>
          <w:rFonts w:ascii="Arial" w:eastAsia="Arial" w:hAnsi="Arial" w:cs="Arial"/>
          <w:sz w:val="24"/>
          <w:szCs w:val="24"/>
        </w:rPr>
        <w:t xml:space="preserve">The repairs and maintenance cost of major network elements during the control period is tabulated </w:t>
      </w:r>
      <w:r>
        <w:rPr>
          <w:rFonts w:ascii="Arial" w:eastAsia="Arial" w:hAnsi="Arial" w:cs="Arial"/>
          <w:sz w:val="24"/>
          <w:szCs w:val="24"/>
        </w:rPr>
        <w:t>below</w:t>
      </w:r>
      <w:r w:rsidRPr="00A64B9D">
        <w:rPr>
          <w:rFonts w:ascii="Arial" w:eastAsia="Arial" w:hAnsi="Arial" w:cs="Arial"/>
          <w:sz w:val="24"/>
          <w:szCs w:val="24"/>
          <w:highlight w:val="yellow"/>
        </w:rPr>
        <w:t xml:space="preserve">                         </w:t>
      </w:r>
    </w:p>
    <w:p w:rsidR="00B70F88" w:rsidRPr="00A64B9D" w:rsidRDefault="00B70F88" w:rsidP="00B70F88">
      <w:pPr>
        <w:spacing w:line="360" w:lineRule="auto"/>
        <w:ind w:left="1152" w:right="540"/>
        <w:contextualSpacing/>
        <w:jc w:val="right"/>
        <w:rPr>
          <w:rFonts w:ascii="Arial" w:eastAsia="Arial" w:hAnsi="Arial" w:cs="Arial"/>
          <w:b/>
          <w:sz w:val="24"/>
          <w:szCs w:val="24"/>
        </w:rPr>
      </w:pPr>
      <w:r w:rsidRPr="00A64B9D">
        <w:rPr>
          <w:rFonts w:ascii="Arial" w:hAnsi="Arial" w:cs="Arial"/>
          <w:b/>
          <w:sz w:val="24"/>
          <w:szCs w:val="24"/>
        </w:rPr>
        <w:lastRenderedPageBreak/>
        <w:t>All figures in Rs. Crs</w:t>
      </w:r>
    </w:p>
    <w:p w:rsidR="00B70F88" w:rsidRPr="00A64B9D" w:rsidRDefault="00B70F88" w:rsidP="00B70F88">
      <w:pPr>
        <w:rPr>
          <w:rFonts w:ascii="Arial" w:hAnsi="Arial" w:cs="Arial"/>
          <w:vanish/>
          <w:sz w:val="24"/>
          <w:szCs w:val="24"/>
          <w:highlight w:val="yellow"/>
        </w:rPr>
      </w:pPr>
    </w:p>
    <w:tbl>
      <w:tblPr>
        <w:tblW w:w="7939" w:type="dxa"/>
        <w:tblInd w:w="1109" w:type="dxa"/>
        <w:tblLook w:val="04A0"/>
      </w:tblPr>
      <w:tblGrid>
        <w:gridCol w:w="2629"/>
        <w:gridCol w:w="1062"/>
        <w:gridCol w:w="1062"/>
        <w:gridCol w:w="1062"/>
        <w:gridCol w:w="1062"/>
        <w:gridCol w:w="1062"/>
      </w:tblGrid>
      <w:tr w:rsidR="00B70F88" w:rsidRPr="00A64B9D" w:rsidTr="006226F4">
        <w:trPr>
          <w:trHeight w:val="498"/>
        </w:trPr>
        <w:tc>
          <w:tcPr>
            <w:tcW w:w="2629" w:type="dxa"/>
            <w:tcBorders>
              <w:top w:val="single" w:sz="4" w:space="0" w:color="auto"/>
              <w:left w:val="single" w:sz="4" w:space="0" w:color="auto"/>
              <w:bottom w:val="single" w:sz="4" w:space="0" w:color="auto"/>
              <w:right w:val="single" w:sz="4" w:space="0" w:color="auto"/>
            </w:tcBorders>
            <w:shd w:val="clear" w:color="000000" w:fill="17375D"/>
            <w:noWrap/>
            <w:vAlign w:val="center"/>
            <w:hideMark/>
          </w:tcPr>
          <w:p w:rsidR="00B70F88" w:rsidRPr="00A45EA8" w:rsidRDefault="00B70F88" w:rsidP="006226F4">
            <w:pPr>
              <w:jc w:val="center"/>
              <w:rPr>
                <w:rFonts w:ascii="Arial" w:hAnsi="Arial" w:cs="Arial"/>
                <w:b/>
                <w:bCs/>
                <w:color w:val="FFFFFF"/>
                <w:szCs w:val="24"/>
              </w:rPr>
            </w:pPr>
            <w:r w:rsidRPr="00A45EA8">
              <w:rPr>
                <w:rFonts w:ascii="Arial" w:hAnsi="Arial" w:cs="Arial"/>
                <w:b/>
                <w:bCs/>
                <w:color w:val="FFFFFF"/>
                <w:szCs w:val="24"/>
              </w:rPr>
              <w:t>Particulars</w:t>
            </w:r>
          </w:p>
        </w:tc>
        <w:tc>
          <w:tcPr>
            <w:tcW w:w="1062"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szCs w:val="24"/>
              </w:rPr>
            </w:pPr>
            <w:r w:rsidRPr="00A45EA8">
              <w:rPr>
                <w:rFonts w:ascii="Arial" w:hAnsi="Arial" w:cs="Arial"/>
                <w:b/>
                <w:bCs/>
                <w:color w:val="FFFFFF"/>
                <w:szCs w:val="24"/>
              </w:rPr>
              <w:t>2014-15</w:t>
            </w:r>
          </w:p>
        </w:tc>
        <w:tc>
          <w:tcPr>
            <w:tcW w:w="1062"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szCs w:val="24"/>
              </w:rPr>
            </w:pPr>
            <w:r w:rsidRPr="00A45EA8">
              <w:rPr>
                <w:rFonts w:ascii="Arial" w:hAnsi="Arial" w:cs="Arial"/>
                <w:b/>
                <w:bCs/>
                <w:color w:val="FFFFFF"/>
                <w:szCs w:val="24"/>
              </w:rPr>
              <w:t>2015-16</w:t>
            </w:r>
          </w:p>
        </w:tc>
        <w:tc>
          <w:tcPr>
            <w:tcW w:w="1062" w:type="dxa"/>
            <w:tcBorders>
              <w:top w:val="single" w:sz="4" w:space="0" w:color="auto"/>
              <w:left w:val="nil"/>
              <w:bottom w:val="single" w:sz="4" w:space="0" w:color="auto"/>
              <w:right w:val="single" w:sz="4" w:space="0" w:color="auto"/>
            </w:tcBorders>
            <w:shd w:val="clear" w:color="000000" w:fill="17375D"/>
            <w:noWrap/>
            <w:vAlign w:val="center"/>
            <w:hideMark/>
          </w:tcPr>
          <w:p w:rsidR="00B70F88" w:rsidRPr="00A45EA8" w:rsidRDefault="00B70F88" w:rsidP="006226F4">
            <w:pPr>
              <w:jc w:val="center"/>
              <w:rPr>
                <w:rFonts w:ascii="Arial" w:hAnsi="Arial" w:cs="Arial"/>
                <w:b/>
                <w:bCs/>
                <w:color w:val="FFFFFF"/>
                <w:szCs w:val="24"/>
              </w:rPr>
            </w:pPr>
            <w:r w:rsidRPr="00A45EA8">
              <w:rPr>
                <w:rFonts w:ascii="Arial" w:hAnsi="Arial" w:cs="Arial"/>
                <w:b/>
                <w:bCs/>
                <w:color w:val="FFFFFF"/>
                <w:szCs w:val="24"/>
              </w:rPr>
              <w:t>2016-17</w:t>
            </w:r>
          </w:p>
        </w:tc>
        <w:tc>
          <w:tcPr>
            <w:tcW w:w="1062"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szCs w:val="24"/>
              </w:rPr>
            </w:pPr>
            <w:r w:rsidRPr="00A45EA8">
              <w:rPr>
                <w:rFonts w:ascii="Arial" w:hAnsi="Arial" w:cs="Arial"/>
                <w:b/>
                <w:bCs/>
                <w:color w:val="FFFFFF"/>
                <w:szCs w:val="24"/>
              </w:rPr>
              <w:t>2017-18</w:t>
            </w:r>
          </w:p>
        </w:tc>
        <w:tc>
          <w:tcPr>
            <w:tcW w:w="1062"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szCs w:val="24"/>
              </w:rPr>
            </w:pPr>
            <w:r w:rsidRPr="00A45EA8">
              <w:rPr>
                <w:rFonts w:ascii="Arial" w:hAnsi="Arial" w:cs="Arial"/>
                <w:b/>
                <w:bCs/>
                <w:color w:val="FFFFFF"/>
                <w:szCs w:val="24"/>
              </w:rPr>
              <w:t>2018-19</w:t>
            </w:r>
          </w:p>
        </w:tc>
      </w:tr>
      <w:tr w:rsidR="00B70F88" w:rsidRPr="00A64B9D" w:rsidTr="006226F4">
        <w:trPr>
          <w:trHeight w:val="293"/>
        </w:trPr>
        <w:tc>
          <w:tcPr>
            <w:tcW w:w="2629" w:type="dxa"/>
            <w:tcBorders>
              <w:top w:val="nil"/>
              <w:left w:val="single" w:sz="4" w:space="0" w:color="auto"/>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Plant and Machinery</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3.67</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3.62</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5.36</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4.10</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4.05</w:t>
            </w:r>
          </w:p>
        </w:tc>
      </w:tr>
      <w:tr w:rsidR="00B70F88" w:rsidRPr="00A64B9D" w:rsidTr="006226F4">
        <w:trPr>
          <w:trHeight w:val="293"/>
        </w:trPr>
        <w:tc>
          <w:tcPr>
            <w:tcW w:w="2629" w:type="dxa"/>
            <w:tcBorders>
              <w:top w:val="nil"/>
              <w:left w:val="single" w:sz="4" w:space="0" w:color="auto"/>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Transformers</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44.98</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40.05</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47.01</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45.04</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43.20</w:t>
            </w:r>
          </w:p>
        </w:tc>
      </w:tr>
      <w:tr w:rsidR="00B70F88" w:rsidRPr="00A64B9D" w:rsidTr="006226F4">
        <w:trPr>
          <w:trHeight w:val="498"/>
        </w:trPr>
        <w:tc>
          <w:tcPr>
            <w:tcW w:w="2629" w:type="dxa"/>
            <w:tcBorders>
              <w:top w:val="nil"/>
              <w:left w:val="single" w:sz="4" w:space="0" w:color="auto"/>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 xml:space="preserve">Substation maintenance </w:t>
            </w:r>
          </w:p>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by Pvt. Agencies</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59.26</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70.87</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78.61</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30.67</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8.36</w:t>
            </w:r>
          </w:p>
        </w:tc>
      </w:tr>
      <w:tr w:rsidR="00B70F88" w:rsidRPr="00A64B9D" w:rsidTr="006226F4">
        <w:trPr>
          <w:trHeight w:val="293"/>
        </w:trPr>
        <w:tc>
          <w:tcPr>
            <w:tcW w:w="2629" w:type="dxa"/>
            <w:tcBorders>
              <w:top w:val="nil"/>
              <w:left w:val="single" w:sz="4" w:space="0" w:color="auto"/>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Lines, Cable net work etc.</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5.67</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7.81</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9.33</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6.17</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7.87</w:t>
            </w:r>
          </w:p>
        </w:tc>
      </w:tr>
      <w:tr w:rsidR="00B70F88" w:rsidRPr="00A64B9D" w:rsidTr="006226F4">
        <w:trPr>
          <w:trHeight w:val="293"/>
        </w:trPr>
        <w:tc>
          <w:tcPr>
            <w:tcW w:w="2629" w:type="dxa"/>
            <w:tcBorders>
              <w:top w:val="nil"/>
              <w:left w:val="single" w:sz="4" w:space="0" w:color="auto"/>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Others</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0.10</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0.84</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9.29</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1.22</w:t>
            </w:r>
          </w:p>
        </w:tc>
        <w:tc>
          <w:tcPr>
            <w:tcW w:w="1062" w:type="dxa"/>
            <w:tcBorders>
              <w:top w:val="nil"/>
              <w:left w:val="nil"/>
              <w:bottom w:val="single" w:sz="4" w:space="0" w:color="auto"/>
              <w:right w:val="single" w:sz="4" w:space="0" w:color="auto"/>
            </w:tcBorders>
            <w:shd w:val="clear" w:color="auto" w:fill="auto"/>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8.50</w:t>
            </w:r>
          </w:p>
        </w:tc>
      </w:tr>
      <w:tr w:rsidR="00B70F88" w:rsidRPr="00A64B9D" w:rsidTr="006226F4">
        <w:trPr>
          <w:trHeight w:val="293"/>
        </w:trPr>
        <w:tc>
          <w:tcPr>
            <w:tcW w:w="2629" w:type="dxa"/>
            <w:tcBorders>
              <w:top w:val="single" w:sz="4" w:space="0" w:color="auto"/>
              <w:left w:val="single" w:sz="4" w:space="0" w:color="auto"/>
              <w:bottom w:val="single" w:sz="4" w:space="0" w:color="auto"/>
              <w:right w:val="single" w:sz="4" w:space="0" w:color="auto"/>
            </w:tcBorders>
            <w:shd w:val="clear" w:color="000000" w:fill="FCD5B4"/>
            <w:vAlign w:val="center"/>
            <w:hideMark/>
          </w:tcPr>
          <w:p w:rsidR="00B70F88" w:rsidRPr="00A64B9D" w:rsidRDefault="00B70F88" w:rsidP="006226F4">
            <w:pPr>
              <w:jc w:val="center"/>
              <w:rPr>
                <w:rFonts w:ascii="Arial" w:hAnsi="Arial" w:cs="Arial"/>
                <w:b/>
                <w:bCs/>
                <w:sz w:val="24"/>
                <w:szCs w:val="24"/>
              </w:rPr>
            </w:pPr>
            <w:r w:rsidRPr="00A64B9D">
              <w:rPr>
                <w:rFonts w:ascii="Arial" w:hAnsi="Arial" w:cs="Arial"/>
                <w:b/>
                <w:bCs/>
                <w:sz w:val="24"/>
                <w:szCs w:val="24"/>
              </w:rPr>
              <w:t>Total R&amp;M Cost</w:t>
            </w:r>
          </w:p>
        </w:tc>
        <w:tc>
          <w:tcPr>
            <w:tcW w:w="1062" w:type="dxa"/>
            <w:tcBorders>
              <w:top w:val="single" w:sz="4" w:space="0" w:color="auto"/>
              <w:left w:val="nil"/>
              <w:bottom w:val="single" w:sz="4" w:space="0" w:color="auto"/>
              <w:right w:val="single" w:sz="4" w:space="0" w:color="auto"/>
            </w:tcBorders>
            <w:shd w:val="clear" w:color="000000" w:fill="FCD5B4"/>
            <w:noWrap/>
            <w:vAlign w:val="center"/>
            <w:hideMark/>
          </w:tcPr>
          <w:p w:rsidR="00B70F88" w:rsidRPr="00A64B9D" w:rsidRDefault="00B70F88" w:rsidP="006226F4">
            <w:pPr>
              <w:jc w:val="center"/>
              <w:rPr>
                <w:rFonts w:ascii="Arial" w:hAnsi="Arial" w:cs="Arial"/>
                <w:b/>
                <w:bCs/>
                <w:sz w:val="24"/>
                <w:szCs w:val="24"/>
              </w:rPr>
            </w:pPr>
            <w:r w:rsidRPr="00A64B9D">
              <w:rPr>
                <w:rFonts w:ascii="Arial" w:hAnsi="Arial" w:cs="Arial"/>
                <w:b/>
                <w:bCs/>
                <w:sz w:val="24"/>
                <w:szCs w:val="24"/>
              </w:rPr>
              <w:t>113.68</w:t>
            </w:r>
          </w:p>
        </w:tc>
        <w:tc>
          <w:tcPr>
            <w:tcW w:w="1062" w:type="dxa"/>
            <w:tcBorders>
              <w:top w:val="single" w:sz="4" w:space="0" w:color="auto"/>
              <w:left w:val="nil"/>
              <w:bottom w:val="single" w:sz="4" w:space="0" w:color="auto"/>
              <w:right w:val="single" w:sz="4" w:space="0" w:color="auto"/>
            </w:tcBorders>
            <w:shd w:val="clear" w:color="000000" w:fill="FCD5B4"/>
            <w:noWrap/>
            <w:vAlign w:val="center"/>
            <w:hideMark/>
          </w:tcPr>
          <w:p w:rsidR="00B70F88" w:rsidRPr="00A64B9D" w:rsidRDefault="00B70F88" w:rsidP="006226F4">
            <w:pPr>
              <w:jc w:val="center"/>
              <w:rPr>
                <w:rFonts w:ascii="Arial" w:hAnsi="Arial" w:cs="Arial"/>
                <w:b/>
                <w:bCs/>
                <w:sz w:val="24"/>
                <w:szCs w:val="24"/>
              </w:rPr>
            </w:pPr>
            <w:r w:rsidRPr="00A64B9D">
              <w:rPr>
                <w:rFonts w:ascii="Arial" w:hAnsi="Arial" w:cs="Arial"/>
                <w:b/>
                <w:bCs/>
                <w:sz w:val="24"/>
                <w:szCs w:val="24"/>
              </w:rPr>
              <w:t>123.20</w:t>
            </w:r>
          </w:p>
        </w:tc>
        <w:tc>
          <w:tcPr>
            <w:tcW w:w="1062" w:type="dxa"/>
            <w:tcBorders>
              <w:top w:val="single" w:sz="4" w:space="0" w:color="auto"/>
              <w:left w:val="nil"/>
              <w:bottom w:val="single" w:sz="4" w:space="0" w:color="auto"/>
              <w:right w:val="single" w:sz="4" w:space="0" w:color="auto"/>
            </w:tcBorders>
            <w:shd w:val="clear" w:color="000000" w:fill="FCD5B4"/>
            <w:noWrap/>
            <w:vAlign w:val="center"/>
            <w:hideMark/>
          </w:tcPr>
          <w:p w:rsidR="00B70F88" w:rsidRPr="00A64B9D" w:rsidRDefault="00B70F88" w:rsidP="006226F4">
            <w:pPr>
              <w:jc w:val="center"/>
              <w:rPr>
                <w:rFonts w:ascii="Arial" w:hAnsi="Arial" w:cs="Arial"/>
                <w:b/>
                <w:bCs/>
                <w:sz w:val="24"/>
                <w:szCs w:val="24"/>
              </w:rPr>
            </w:pPr>
            <w:r w:rsidRPr="00A64B9D">
              <w:rPr>
                <w:rFonts w:ascii="Arial" w:hAnsi="Arial" w:cs="Arial"/>
                <w:b/>
                <w:bCs/>
                <w:sz w:val="24"/>
                <w:szCs w:val="24"/>
              </w:rPr>
              <w:t>149.60</w:t>
            </w:r>
          </w:p>
        </w:tc>
        <w:tc>
          <w:tcPr>
            <w:tcW w:w="1062" w:type="dxa"/>
            <w:tcBorders>
              <w:top w:val="single" w:sz="4" w:space="0" w:color="auto"/>
              <w:left w:val="nil"/>
              <w:bottom w:val="single" w:sz="4" w:space="0" w:color="auto"/>
              <w:right w:val="single" w:sz="4" w:space="0" w:color="auto"/>
            </w:tcBorders>
            <w:shd w:val="clear" w:color="000000" w:fill="FCD5B4"/>
            <w:noWrap/>
            <w:vAlign w:val="center"/>
            <w:hideMark/>
          </w:tcPr>
          <w:p w:rsidR="00B70F88" w:rsidRPr="00A64B9D" w:rsidRDefault="00B70F88" w:rsidP="006226F4">
            <w:pPr>
              <w:jc w:val="center"/>
              <w:rPr>
                <w:rFonts w:ascii="Arial" w:hAnsi="Arial" w:cs="Arial"/>
                <w:b/>
                <w:bCs/>
                <w:sz w:val="24"/>
                <w:szCs w:val="24"/>
              </w:rPr>
            </w:pPr>
            <w:r w:rsidRPr="00A64B9D">
              <w:rPr>
                <w:rFonts w:ascii="Arial" w:hAnsi="Arial" w:cs="Arial"/>
                <w:b/>
                <w:bCs/>
                <w:sz w:val="24"/>
                <w:szCs w:val="24"/>
              </w:rPr>
              <w:t>87.20</w:t>
            </w:r>
          </w:p>
        </w:tc>
        <w:tc>
          <w:tcPr>
            <w:tcW w:w="1062" w:type="dxa"/>
            <w:tcBorders>
              <w:top w:val="single" w:sz="4" w:space="0" w:color="auto"/>
              <w:left w:val="nil"/>
              <w:bottom w:val="single" w:sz="4" w:space="0" w:color="auto"/>
              <w:right w:val="single" w:sz="4" w:space="0" w:color="auto"/>
            </w:tcBorders>
            <w:shd w:val="clear" w:color="000000" w:fill="FCD5B4"/>
            <w:noWrap/>
            <w:vAlign w:val="center"/>
            <w:hideMark/>
          </w:tcPr>
          <w:p w:rsidR="00B70F88" w:rsidRPr="00A64B9D" w:rsidRDefault="00B70F88" w:rsidP="006226F4">
            <w:pPr>
              <w:jc w:val="center"/>
              <w:rPr>
                <w:rFonts w:ascii="Arial" w:hAnsi="Arial" w:cs="Arial"/>
                <w:b/>
                <w:bCs/>
                <w:sz w:val="24"/>
                <w:szCs w:val="24"/>
              </w:rPr>
            </w:pPr>
            <w:r w:rsidRPr="00A64B9D">
              <w:rPr>
                <w:rFonts w:ascii="Arial" w:hAnsi="Arial" w:cs="Arial"/>
                <w:b/>
                <w:bCs/>
                <w:sz w:val="24"/>
                <w:szCs w:val="24"/>
              </w:rPr>
              <w:t>71.98</w:t>
            </w:r>
          </w:p>
        </w:tc>
      </w:tr>
    </w:tbl>
    <w:p w:rsidR="00B70F88" w:rsidRPr="00A64B9D" w:rsidRDefault="00B70F88" w:rsidP="00B70F88">
      <w:pPr>
        <w:pStyle w:val="ListParagraph"/>
        <w:spacing w:line="360" w:lineRule="auto"/>
        <w:ind w:left="0"/>
        <w:rPr>
          <w:rFonts w:ascii="Arial" w:hAnsi="Arial" w:cs="Arial"/>
          <w:sz w:val="24"/>
          <w:szCs w:val="24"/>
          <w:highlight w:val="yellow"/>
        </w:rPr>
      </w:pPr>
    </w:p>
    <w:p w:rsidR="00B70F88" w:rsidRPr="00A64B9D" w:rsidRDefault="00B70F88" w:rsidP="00B70F88">
      <w:pPr>
        <w:pStyle w:val="Heading4"/>
        <w:rPr>
          <w:rFonts w:cs="Arial"/>
          <w:sz w:val="24"/>
          <w:szCs w:val="24"/>
        </w:rPr>
      </w:pPr>
      <w:r w:rsidRPr="00A64B9D">
        <w:rPr>
          <w:rFonts w:cs="Arial"/>
          <w:sz w:val="24"/>
          <w:szCs w:val="24"/>
        </w:rPr>
        <w:t xml:space="preserve">Regulated Rate Base (RRB) </w:t>
      </w:r>
    </w:p>
    <w:p w:rsidR="00B70F88" w:rsidRPr="00A64B9D" w:rsidRDefault="00B70F88" w:rsidP="00B70F88">
      <w:pPr>
        <w:tabs>
          <w:tab w:val="left" w:pos="0"/>
        </w:tabs>
        <w:spacing w:line="360" w:lineRule="auto"/>
        <w:ind w:left="720"/>
        <w:jc w:val="both"/>
        <w:rPr>
          <w:rFonts w:ascii="Arial" w:hAnsi="Arial" w:cs="Arial"/>
          <w:sz w:val="24"/>
          <w:szCs w:val="24"/>
        </w:rPr>
      </w:pPr>
      <w:r w:rsidRPr="00A64B9D">
        <w:rPr>
          <w:rFonts w:ascii="Arial" w:hAnsi="Arial" w:cs="Arial"/>
          <w:sz w:val="24"/>
          <w:szCs w:val="24"/>
        </w:rPr>
        <w:t xml:space="preserve">Discom’s actual RRB for the Third  MYT Control period is </w:t>
      </w:r>
      <w:r w:rsidRPr="00A64B9D">
        <w:rPr>
          <w:rFonts w:ascii="Arial" w:hAnsi="Arial" w:cs="Arial"/>
          <w:b/>
          <w:sz w:val="24"/>
          <w:szCs w:val="24"/>
        </w:rPr>
        <w:t>Rs 8537Crs.</w:t>
      </w:r>
      <w:r w:rsidRPr="00A64B9D">
        <w:rPr>
          <w:rFonts w:ascii="Arial" w:hAnsi="Arial" w:cs="Arial"/>
          <w:sz w:val="24"/>
          <w:szCs w:val="24"/>
        </w:rPr>
        <w:t xml:space="preserve"> whereas the Hon’ble Commission approved is </w:t>
      </w:r>
      <w:r w:rsidRPr="00A64B9D">
        <w:rPr>
          <w:rFonts w:ascii="Arial" w:hAnsi="Arial" w:cs="Arial"/>
          <w:b/>
          <w:sz w:val="24"/>
          <w:szCs w:val="24"/>
        </w:rPr>
        <w:t>Rs. 11308 Crs.</w:t>
      </w:r>
      <w:r w:rsidRPr="00A64B9D">
        <w:rPr>
          <w:rFonts w:ascii="Arial" w:hAnsi="Arial" w:cs="Arial"/>
          <w:sz w:val="24"/>
          <w:szCs w:val="24"/>
        </w:rPr>
        <w:t xml:space="preserve"> resulting in a deviation of </w:t>
      </w:r>
      <w:r w:rsidRPr="00A64B9D">
        <w:rPr>
          <w:rFonts w:ascii="Arial" w:hAnsi="Arial" w:cs="Arial"/>
          <w:b/>
          <w:sz w:val="24"/>
          <w:szCs w:val="24"/>
        </w:rPr>
        <w:t>Rs 2771 Crs</w:t>
      </w:r>
      <w:r w:rsidRPr="00A64B9D">
        <w:rPr>
          <w:rFonts w:ascii="Arial" w:hAnsi="Arial" w:cs="Arial"/>
          <w:sz w:val="24"/>
          <w:szCs w:val="24"/>
        </w:rPr>
        <w:t>. Summary of RRB  line items for FY 2014-15 to FY 2018-19 is as below.</w:t>
      </w:r>
    </w:p>
    <w:p w:rsidR="00B70F88" w:rsidRPr="00A64B9D" w:rsidRDefault="00B70F88" w:rsidP="00B70F88">
      <w:pPr>
        <w:tabs>
          <w:tab w:val="left" w:pos="0"/>
        </w:tabs>
        <w:spacing w:line="360" w:lineRule="auto"/>
        <w:jc w:val="right"/>
        <w:rPr>
          <w:rFonts w:ascii="Arial" w:hAnsi="Arial" w:cs="Arial"/>
          <w:b/>
          <w:sz w:val="24"/>
          <w:szCs w:val="24"/>
        </w:rPr>
      </w:pPr>
      <w:r w:rsidRPr="00A64B9D">
        <w:rPr>
          <w:rFonts w:ascii="Arial" w:hAnsi="Arial" w:cs="Arial"/>
          <w:b/>
          <w:sz w:val="24"/>
          <w:szCs w:val="24"/>
        </w:rPr>
        <w:t>Rs. Crs</w:t>
      </w:r>
    </w:p>
    <w:tbl>
      <w:tblPr>
        <w:tblW w:w="9578" w:type="dxa"/>
        <w:tblInd w:w="738" w:type="dxa"/>
        <w:tblLook w:val="04A0"/>
      </w:tblPr>
      <w:tblGrid>
        <w:gridCol w:w="3168"/>
        <w:gridCol w:w="1144"/>
        <w:gridCol w:w="1054"/>
        <w:gridCol w:w="1007"/>
        <w:gridCol w:w="1144"/>
        <w:gridCol w:w="1054"/>
        <w:gridCol w:w="1007"/>
      </w:tblGrid>
      <w:tr w:rsidR="00B70F88" w:rsidRPr="00A64B9D" w:rsidTr="00B70F88">
        <w:trPr>
          <w:trHeight w:val="415"/>
        </w:trPr>
        <w:tc>
          <w:tcPr>
            <w:tcW w:w="3168" w:type="dxa"/>
            <w:vMerge w:val="restart"/>
            <w:tcBorders>
              <w:top w:val="single" w:sz="8" w:space="0" w:color="auto"/>
              <w:left w:val="single" w:sz="8" w:space="0" w:color="auto"/>
              <w:bottom w:val="single" w:sz="4" w:space="0" w:color="auto"/>
              <w:right w:val="single" w:sz="4" w:space="0" w:color="auto"/>
            </w:tcBorders>
            <w:shd w:val="clear" w:color="000000" w:fill="17375D"/>
            <w:noWrap/>
            <w:vAlign w:val="center"/>
            <w:hideMark/>
          </w:tcPr>
          <w:p w:rsidR="00B70F88" w:rsidRPr="00A64B9D" w:rsidRDefault="00B70F88" w:rsidP="006226F4">
            <w:pPr>
              <w:jc w:val="center"/>
              <w:rPr>
                <w:rFonts w:ascii="Arial" w:hAnsi="Arial" w:cs="Arial"/>
                <w:b/>
                <w:bCs/>
                <w:color w:val="FFFFFF"/>
                <w:sz w:val="24"/>
                <w:szCs w:val="24"/>
              </w:rPr>
            </w:pPr>
            <w:r w:rsidRPr="00A64B9D">
              <w:rPr>
                <w:rFonts w:ascii="Arial" w:hAnsi="Arial" w:cs="Arial"/>
                <w:b/>
                <w:bCs/>
                <w:color w:val="FFFFFF"/>
                <w:sz w:val="24"/>
                <w:szCs w:val="24"/>
              </w:rPr>
              <w:t>Years</w:t>
            </w:r>
          </w:p>
        </w:tc>
        <w:tc>
          <w:tcPr>
            <w:tcW w:w="3205" w:type="dxa"/>
            <w:gridSpan w:val="3"/>
            <w:tcBorders>
              <w:top w:val="single" w:sz="8" w:space="0" w:color="auto"/>
              <w:left w:val="nil"/>
              <w:bottom w:val="single" w:sz="4" w:space="0" w:color="auto"/>
              <w:right w:val="single" w:sz="4" w:space="0" w:color="auto"/>
            </w:tcBorders>
            <w:shd w:val="clear" w:color="000000" w:fill="17375D"/>
            <w:vAlign w:val="center"/>
            <w:hideMark/>
          </w:tcPr>
          <w:p w:rsidR="00B70F88" w:rsidRPr="00A64B9D" w:rsidRDefault="00B70F88" w:rsidP="006226F4">
            <w:pPr>
              <w:jc w:val="center"/>
              <w:rPr>
                <w:rFonts w:ascii="Arial" w:hAnsi="Arial" w:cs="Arial"/>
                <w:b/>
                <w:bCs/>
                <w:color w:val="FFFFFF"/>
                <w:sz w:val="24"/>
                <w:szCs w:val="24"/>
              </w:rPr>
            </w:pPr>
            <w:r w:rsidRPr="00A64B9D">
              <w:rPr>
                <w:rFonts w:ascii="Arial" w:hAnsi="Arial" w:cs="Arial"/>
                <w:b/>
                <w:bCs/>
                <w:color w:val="FFFFFF"/>
                <w:sz w:val="24"/>
                <w:szCs w:val="24"/>
              </w:rPr>
              <w:t>Regulatory Rate Base</w:t>
            </w:r>
          </w:p>
        </w:tc>
        <w:tc>
          <w:tcPr>
            <w:tcW w:w="3205" w:type="dxa"/>
            <w:gridSpan w:val="3"/>
            <w:tcBorders>
              <w:top w:val="single" w:sz="8" w:space="0" w:color="auto"/>
              <w:left w:val="nil"/>
              <w:bottom w:val="single" w:sz="4" w:space="0" w:color="auto"/>
              <w:right w:val="single" w:sz="4" w:space="0" w:color="auto"/>
            </w:tcBorders>
            <w:shd w:val="clear" w:color="000000" w:fill="17375D"/>
            <w:vAlign w:val="center"/>
            <w:hideMark/>
          </w:tcPr>
          <w:p w:rsidR="00B70F88" w:rsidRPr="00A64B9D" w:rsidRDefault="00B70F88" w:rsidP="006226F4">
            <w:pPr>
              <w:jc w:val="center"/>
              <w:rPr>
                <w:rFonts w:ascii="Arial" w:hAnsi="Arial" w:cs="Arial"/>
                <w:b/>
                <w:bCs/>
                <w:color w:val="FFFFFF"/>
                <w:sz w:val="24"/>
                <w:szCs w:val="24"/>
              </w:rPr>
            </w:pPr>
            <w:r w:rsidRPr="00A64B9D">
              <w:rPr>
                <w:rFonts w:ascii="Arial" w:hAnsi="Arial" w:cs="Arial"/>
                <w:b/>
                <w:bCs/>
                <w:color w:val="FFFFFF"/>
                <w:sz w:val="24"/>
                <w:szCs w:val="24"/>
              </w:rPr>
              <w:t>Asset Base</w:t>
            </w:r>
          </w:p>
        </w:tc>
      </w:tr>
      <w:tr w:rsidR="00B70F88" w:rsidRPr="00A64B9D" w:rsidTr="00B70F88">
        <w:trPr>
          <w:trHeight w:val="227"/>
        </w:trPr>
        <w:tc>
          <w:tcPr>
            <w:tcW w:w="3168" w:type="dxa"/>
            <w:vMerge/>
            <w:tcBorders>
              <w:top w:val="single" w:sz="8" w:space="0" w:color="auto"/>
              <w:left w:val="single" w:sz="8" w:space="0" w:color="auto"/>
              <w:bottom w:val="single" w:sz="4" w:space="0" w:color="auto"/>
              <w:right w:val="single" w:sz="4" w:space="0" w:color="auto"/>
            </w:tcBorders>
            <w:vAlign w:val="center"/>
            <w:hideMark/>
          </w:tcPr>
          <w:p w:rsidR="00B70F88" w:rsidRPr="00A64B9D" w:rsidRDefault="00B70F88" w:rsidP="006226F4">
            <w:pPr>
              <w:jc w:val="center"/>
              <w:rPr>
                <w:rFonts w:ascii="Arial" w:hAnsi="Arial" w:cs="Arial"/>
                <w:b/>
                <w:bCs/>
                <w:color w:val="FFFFFF"/>
                <w:sz w:val="24"/>
                <w:szCs w:val="24"/>
              </w:rPr>
            </w:pPr>
          </w:p>
        </w:tc>
        <w:tc>
          <w:tcPr>
            <w:tcW w:w="1144" w:type="dxa"/>
            <w:tcBorders>
              <w:top w:val="nil"/>
              <w:left w:val="nil"/>
              <w:bottom w:val="single" w:sz="4" w:space="0" w:color="auto"/>
              <w:right w:val="single" w:sz="4" w:space="0" w:color="auto"/>
            </w:tcBorders>
            <w:shd w:val="clear" w:color="000000" w:fill="17375D"/>
            <w:noWrap/>
            <w:vAlign w:val="center"/>
            <w:hideMark/>
          </w:tcPr>
          <w:p w:rsidR="00B70F88" w:rsidRPr="00A64B9D" w:rsidRDefault="00B70F88" w:rsidP="006226F4">
            <w:pPr>
              <w:jc w:val="center"/>
              <w:rPr>
                <w:rFonts w:ascii="Arial" w:hAnsi="Arial" w:cs="Arial"/>
                <w:b/>
                <w:bCs/>
                <w:color w:val="FFFFFF"/>
                <w:sz w:val="24"/>
                <w:szCs w:val="24"/>
              </w:rPr>
            </w:pPr>
            <w:r w:rsidRPr="00A64B9D">
              <w:rPr>
                <w:rFonts w:ascii="Arial" w:hAnsi="Arial" w:cs="Arial"/>
                <w:b/>
                <w:bCs/>
                <w:color w:val="FFFFFF"/>
                <w:sz w:val="24"/>
                <w:szCs w:val="24"/>
              </w:rPr>
              <w:t>TSERC</w:t>
            </w:r>
          </w:p>
        </w:tc>
        <w:tc>
          <w:tcPr>
            <w:tcW w:w="1054" w:type="dxa"/>
            <w:tcBorders>
              <w:top w:val="nil"/>
              <w:left w:val="nil"/>
              <w:bottom w:val="single" w:sz="4" w:space="0" w:color="auto"/>
              <w:right w:val="single" w:sz="4" w:space="0" w:color="auto"/>
            </w:tcBorders>
            <w:shd w:val="clear" w:color="000000" w:fill="17375D"/>
            <w:noWrap/>
            <w:vAlign w:val="center"/>
            <w:hideMark/>
          </w:tcPr>
          <w:p w:rsidR="00B70F88" w:rsidRPr="00A64B9D" w:rsidRDefault="00B70F88" w:rsidP="006226F4">
            <w:pPr>
              <w:jc w:val="center"/>
              <w:rPr>
                <w:rFonts w:ascii="Arial" w:hAnsi="Arial" w:cs="Arial"/>
                <w:b/>
                <w:bCs/>
                <w:color w:val="FFFFFF"/>
                <w:sz w:val="24"/>
                <w:szCs w:val="24"/>
              </w:rPr>
            </w:pPr>
            <w:r w:rsidRPr="00A64B9D">
              <w:rPr>
                <w:rFonts w:ascii="Arial" w:hAnsi="Arial" w:cs="Arial"/>
                <w:b/>
                <w:bCs/>
                <w:color w:val="FFFFFF"/>
                <w:sz w:val="24"/>
                <w:szCs w:val="24"/>
              </w:rPr>
              <w:t>Actual</w:t>
            </w:r>
          </w:p>
        </w:tc>
        <w:tc>
          <w:tcPr>
            <w:tcW w:w="1007" w:type="dxa"/>
            <w:tcBorders>
              <w:top w:val="nil"/>
              <w:left w:val="nil"/>
              <w:bottom w:val="single" w:sz="4" w:space="0" w:color="auto"/>
              <w:right w:val="single" w:sz="4" w:space="0" w:color="auto"/>
            </w:tcBorders>
            <w:shd w:val="clear" w:color="000000" w:fill="17375D"/>
            <w:noWrap/>
            <w:vAlign w:val="center"/>
            <w:hideMark/>
          </w:tcPr>
          <w:p w:rsidR="00B70F88" w:rsidRPr="00A64B9D" w:rsidRDefault="00B70F88" w:rsidP="006226F4">
            <w:pPr>
              <w:jc w:val="center"/>
              <w:rPr>
                <w:rFonts w:ascii="Arial" w:hAnsi="Arial" w:cs="Arial"/>
                <w:b/>
                <w:bCs/>
                <w:color w:val="FFFFFF"/>
                <w:sz w:val="24"/>
                <w:szCs w:val="24"/>
              </w:rPr>
            </w:pPr>
            <w:r w:rsidRPr="00A64B9D">
              <w:rPr>
                <w:rFonts w:ascii="Arial" w:hAnsi="Arial" w:cs="Arial"/>
                <w:b/>
                <w:bCs/>
                <w:color w:val="FFFFFF"/>
                <w:sz w:val="24"/>
                <w:szCs w:val="24"/>
              </w:rPr>
              <w:t>+/(-)</w:t>
            </w:r>
          </w:p>
        </w:tc>
        <w:tc>
          <w:tcPr>
            <w:tcW w:w="1144" w:type="dxa"/>
            <w:tcBorders>
              <w:top w:val="nil"/>
              <w:left w:val="nil"/>
              <w:bottom w:val="single" w:sz="4" w:space="0" w:color="auto"/>
              <w:right w:val="single" w:sz="4" w:space="0" w:color="auto"/>
            </w:tcBorders>
            <w:shd w:val="clear" w:color="000000" w:fill="17375D"/>
            <w:noWrap/>
            <w:vAlign w:val="center"/>
            <w:hideMark/>
          </w:tcPr>
          <w:p w:rsidR="00B70F88" w:rsidRPr="00A64B9D" w:rsidRDefault="00B70F88" w:rsidP="006226F4">
            <w:pPr>
              <w:jc w:val="center"/>
              <w:rPr>
                <w:rFonts w:ascii="Arial" w:hAnsi="Arial" w:cs="Arial"/>
                <w:b/>
                <w:bCs/>
                <w:color w:val="FFFFFF"/>
                <w:sz w:val="24"/>
                <w:szCs w:val="24"/>
              </w:rPr>
            </w:pPr>
            <w:r w:rsidRPr="00A64B9D">
              <w:rPr>
                <w:rFonts w:ascii="Arial" w:hAnsi="Arial" w:cs="Arial"/>
                <w:b/>
                <w:bCs/>
                <w:color w:val="FFFFFF"/>
                <w:sz w:val="24"/>
                <w:szCs w:val="24"/>
              </w:rPr>
              <w:t>TSERC</w:t>
            </w:r>
          </w:p>
        </w:tc>
        <w:tc>
          <w:tcPr>
            <w:tcW w:w="1054" w:type="dxa"/>
            <w:tcBorders>
              <w:top w:val="nil"/>
              <w:left w:val="nil"/>
              <w:bottom w:val="single" w:sz="4" w:space="0" w:color="auto"/>
              <w:right w:val="single" w:sz="4" w:space="0" w:color="auto"/>
            </w:tcBorders>
            <w:shd w:val="clear" w:color="000000" w:fill="17375D"/>
            <w:noWrap/>
            <w:vAlign w:val="center"/>
            <w:hideMark/>
          </w:tcPr>
          <w:p w:rsidR="00B70F88" w:rsidRPr="00A64B9D" w:rsidRDefault="00B70F88" w:rsidP="006226F4">
            <w:pPr>
              <w:jc w:val="center"/>
              <w:rPr>
                <w:rFonts w:ascii="Arial" w:hAnsi="Arial" w:cs="Arial"/>
                <w:b/>
                <w:bCs/>
                <w:color w:val="FFFFFF"/>
                <w:sz w:val="24"/>
                <w:szCs w:val="24"/>
              </w:rPr>
            </w:pPr>
            <w:r w:rsidRPr="00A64B9D">
              <w:rPr>
                <w:rFonts w:ascii="Arial" w:hAnsi="Arial" w:cs="Arial"/>
                <w:b/>
                <w:bCs/>
                <w:color w:val="FFFFFF"/>
                <w:sz w:val="24"/>
                <w:szCs w:val="24"/>
              </w:rPr>
              <w:t>Actual</w:t>
            </w:r>
          </w:p>
        </w:tc>
        <w:tc>
          <w:tcPr>
            <w:tcW w:w="1007" w:type="dxa"/>
            <w:tcBorders>
              <w:top w:val="nil"/>
              <w:left w:val="nil"/>
              <w:bottom w:val="single" w:sz="4" w:space="0" w:color="auto"/>
              <w:right w:val="single" w:sz="4" w:space="0" w:color="auto"/>
            </w:tcBorders>
            <w:shd w:val="clear" w:color="000000" w:fill="17375D"/>
            <w:noWrap/>
            <w:vAlign w:val="center"/>
            <w:hideMark/>
          </w:tcPr>
          <w:p w:rsidR="00B70F88" w:rsidRPr="00A64B9D" w:rsidRDefault="00B70F88" w:rsidP="006226F4">
            <w:pPr>
              <w:jc w:val="center"/>
              <w:rPr>
                <w:rFonts w:ascii="Arial" w:hAnsi="Arial" w:cs="Arial"/>
                <w:b/>
                <w:bCs/>
                <w:color w:val="FFFFFF"/>
                <w:sz w:val="24"/>
                <w:szCs w:val="24"/>
              </w:rPr>
            </w:pPr>
            <w:r w:rsidRPr="00A64B9D">
              <w:rPr>
                <w:rFonts w:ascii="Arial" w:hAnsi="Arial" w:cs="Arial"/>
                <w:b/>
                <w:bCs/>
                <w:color w:val="FFFFFF"/>
                <w:sz w:val="24"/>
                <w:szCs w:val="24"/>
              </w:rPr>
              <w:t>+/(-)</w:t>
            </w:r>
          </w:p>
        </w:tc>
      </w:tr>
      <w:tr w:rsidR="00B70F88" w:rsidRPr="00A64B9D" w:rsidTr="00B70F88">
        <w:trPr>
          <w:trHeight w:val="227"/>
        </w:trPr>
        <w:tc>
          <w:tcPr>
            <w:tcW w:w="3168" w:type="dxa"/>
            <w:tcBorders>
              <w:top w:val="nil"/>
              <w:left w:val="single" w:sz="4" w:space="0" w:color="auto"/>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FY 2014-15</w:t>
            </w:r>
          </w:p>
        </w:tc>
        <w:tc>
          <w:tcPr>
            <w:tcW w:w="1144"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1508</w:t>
            </w:r>
          </w:p>
        </w:tc>
        <w:tc>
          <w:tcPr>
            <w:tcW w:w="1054"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1364</w:t>
            </w:r>
          </w:p>
        </w:tc>
        <w:tc>
          <w:tcPr>
            <w:tcW w:w="1007"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-144</w:t>
            </w:r>
          </w:p>
        </w:tc>
        <w:tc>
          <w:tcPr>
            <w:tcW w:w="1144"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4585</w:t>
            </w:r>
          </w:p>
        </w:tc>
        <w:tc>
          <w:tcPr>
            <w:tcW w:w="1054"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4275</w:t>
            </w:r>
          </w:p>
        </w:tc>
        <w:tc>
          <w:tcPr>
            <w:tcW w:w="1007"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-310</w:t>
            </w:r>
          </w:p>
        </w:tc>
      </w:tr>
      <w:tr w:rsidR="00B70F88" w:rsidRPr="00A64B9D" w:rsidTr="00B70F88">
        <w:trPr>
          <w:trHeight w:val="227"/>
        </w:trPr>
        <w:tc>
          <w:tcPr>
            <w:tcW w:w="3168" w:type="dxa"/>
            <w:tcBorders>
              <w:top w:val="nil"/>
              <w:left w:val="single" w:sz="4" w:space="0" w:color="auto"/>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FY 2015-16</w:t>
            </w:r>
          </w:p>
        </w:tc>
        <w:tc>
          <w:tcPr>
            <w:tcW w:w="1144"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1797</w:t>
            </w:r>
          </w:p>
        </w:tc>
        <w:tc>
          <w:tcPr>
            <w:tcW w:w="1054"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1432</w:t>
            </w:r>
          </w:p>
        </w:tc>
        <w:tc>
          <w:tcPr>
            <w:tcW w:w="1007"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-365</w:t>
            </w:r>
          </w:p>
        </w:tc>
        <w:tc>
          <w:tcPr>
            <w:tcW w:w="1144"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5540</w:t>
            </w:r>
          </w:p>
        </w:tc>
        <w:tc>
          <w:tcPr>
            <w:tcW w:w="1054"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4807</w:t>
            </w:r>
          </w:p>
        </w:tc>
        <w:tc>
          <w:tcPr>
            <w:tcW w:w="1007"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-732</w:t>
            </w:r>
          </w:p>
        </w:tc>
      </w:tr>
      <w:tr w:rsidR="00B70F88" w:rsidRPr="00A64B9D" w:rsidTr="00B70F88">
        <w:trPr>
          <w:trHeight w:val="227"/>
        </w:trPr>
        <w:tc>
          <w:tcPr>
            <w:tcW w:w="3168" w:type="dxa"/>
            <w:tcBorders>
              <w:top w:val="nil"/>
              <w:left w:val="single" w:sz="4" w:space="0" w:color="auto"/>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FY 2016-17</w:t>
            </w:r>
          </w:p>
        </w:tc>
        <w:tc>
          <w:tcPr>
            <w:tcW w:w="1144"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2141</w:t>
            </w:r>
          </w:p>
        </w:tc>
        <w:tc>
          <w:tcPr>
            <w:tcW w:w="1054"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1642</w:t>
            </w:r>
          </w:p>
        </w:tc>
        <w:tc>
          <w:tcPr>
            <w:tcW w:w="1007"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-499</w:t>
            </w:r>
          </w:p>
        </w:tc>
        <w:tc>
          <w:tcPr>
            <w:tcW w:w="1144"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6640</w:t>
            </w:r>
          </w:p>
        </w:tc>
        <w:tc>
          <w:tcPr>
            <w:tcW w:w="1054"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5421</w:t>
            </w:r>
          </w:p>
        </w:tc>
        <w:tc>
          <w:tcPr>
            <w:tcW w:w="1007"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-1219</w:t>
            </w:r>
          </w:p>
        </w:tc>
      </w:tr>
      <w:tr w:rsidR="00B70F88" w:rsidRPr="00A64B9D" w:rsidTr="00B70F88">
        <w:trPr>
          <w:trHeight w:val="227"/>
        </w:trPr>
        <w:tc>
          <w:tcPr>
            <w:tcW w:w="3168" w:type="dxa"/>
            <w:tcBorders>
              <w:top w:val="nil"/>
              <w:left w:val="single" w:sz="4" w:space="0" w:color="auto"/>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FY 2017-18</w:t>
            </w:r>
          </w:p>
        </w:tc>
        <w:tc>
          <w:tcPr>
            <w:tcW w:w="1144"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2629</w:t>
            </w:r>
          </w:p>
        </w:tc>
        <w:tc>
          <w:tcPr>
            <w:tcW w:w="1054"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1859</w:t>
            </w:r>
          </w:p>
        </w:tc>
        <w:tc>
          <w:tcPr>
            <w:tcW w:w="1007"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-770</w:t>
            </w:r>
          </w:p>
        </w:tc>
        <w:tc>
          <w:tcPr>
            <w:tcW w:w="1144"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7729</w:t>
            </w:r>
          </w:p>
        </w:tc>
        <w:tc>
          <w:tcPr>
            <w:tcW w:w="1054"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6043</w:t>
            </w:r>
          </w:p>
        </w:tc>
        <w:tc>
          <w:tcPr>
            <w:tcW w:w="1007"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-1686</w:t>
            </w:r>
          </w:p>
        </w:tc>
      </w:tr>
      <w:tr w:rsidR="00B70F88" w:rsidRPr="00A64B9D" w:rsidTr="00B70F88">
        <w:trPr>
          <w:trHeight w:val="227"/>
        </w:trPr>
        <w:tc>
          <w:tcPr>
            <w:tcW w:w="3168" w:type="dxa"/>
            <w:tcBorders>
              <w:top w:val="nil"/>
              <w:left w:val="single" w:sz="4" w:space="0" w:color="auto"/>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FY 2018-19</w:t>
            </w:r>
          </w:p>
        </w:tc>
        <w:tc>
          <w:tcPr>
            <w:tcW w:w="1144"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3232</w:t>
            </w:r>
          </w:p>
        </w:tc>
        <w:tc>
          <w:tcPr>
            <w:tcW w:w="1054"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2240</w:t>
            </w:r>
          </w:p>
        </w:tc>
        <w:tc>
          <w:tcPr>
            <w:tcW w:w="1007"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-993</w:t>
            </w:r>
          </w:p>
        </w:tc>
        <w:tc>
          <w:tcPr>
            <w:tcW w:w="1144"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8892</w:t>
            </w:r>
          </w:p>
        </w:tc>
        <w:tc>
          <w:tcPr>
            <w:tcW w:w="1054"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7030</w:t>
            </w:r>
          </w:p>
        </w:tc>
        <w:tc>
          <w:tcPr>
            <w:tcW w:w="1007" w:type="dxa"/>
            <w:tcBorders>
              <w:top w:val="nil"/>
              <w:left w:val="nil"/>
              <w:bottom w:val="single" w:sz="4" w:space="0" w:color="auto"/>
              <w:right w:val="single" w:sz="4" w:space="0" w:color="auto"/>
            </w:tcBorders>
            <w:shd w:val="clear" w:color="auto" w:fill="auto"/>
            <w:noWrap/>
            <w:vAlign w:val="center"/>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-1861</w:t>
            </w:r>
          </w:p>
        </w:tc>
      </w:tr>
      <w:tr w:rsidR="00B70F88" w:rsidRPr="00A64B9D" w:rsidTr="00B70F88">
        <w:trPr>
          <w:trHeight w:val="227"/>
        </w:trPr>
        <w:tc>
          <w:tcPr>
            <w:tcW w:w="3168" w:type="dxa"/>
            <w:tcBorders>
              <w:top w:val="nil"/>
              <w:left w:val="single" w:sz="4" w:space="0" w:color="auto"/>
              <w:bottom w:val="single" w:sz="4" w:space="0" w:color="auto"/>
              <w:right w:val="single" w:sz="4" w:space="0" w:color="auto"/>
            </w:tcBorders>
            <w:shd w:val="clear" w:color="000000" w:fill="FCD5B4"/>
            <w:noWrap/>
            <w:vAlign w:val="center"/>
            <w:hideMark/>
          </w:tcPr>
          <w:p w:rsidR="00B70F88" w:rsidRPr="00A64B9D" w:rsidRDefault="00B70F88" w:rsidP="006226F4">
            <w:pPr>
              <w:jc w:val="center"/>
              <w:rPr>
                <w:rFonts w:ascii="Arial" w:hAnsi="Arial" w:cs="Arial"/>
                <w:b/>
                <w:bCs/>
                <w:color w:val="000000"/>
                <w:sz w:val="24"/>
                <w:szCs w:val="24"/>
              </w:rPr>
            </w:pPr>
            <w:r w:rsidRPr="00A64B9D">
              <w:rPr>
                <w:rFonts w:ascii="Arial" w:hAnsi="Arial" w:cs="Arial"/>
                <w:b/>
                <w:bCs/>
                <w:color w:val="000000"/>
                <w:sz w:val="24"/>
                <w:szCs w:val="24"/>
              </w:rPr>
              <w:t>Total 3rd Control Period</w:t>
            </w:r>
          </w:p>
        </w:tc>
        <w:tc>
          <w:tcPr>
            <w:tcW w:w="1144" w:type="dxa"/>
            <w:tcBorders>
              <w:top w:val="nil"/>
              <w:left w:val="nil"/>
              <w:bottom w:val="single" w:sz="4" w:space="0" w:color="auto"/>
              <w:right w:val="single" w:sz="4" w:space="0" w:color="auto"/>
            </w:tcBorders>
            <w:shd w:val="clear" w:color="000000" w:fill="FCD5B4"/>
            <w:noWrap/>
            <w:vAlign w:val="center"/>
            <w:hideMark/>
          </w:tcPr>
          <w:p w:rsidR="00B70F88" w:rsidRPr="00A64B9D" w:rsidRDefault="00B70F88" w:rsidP="006226F4">
            <w:pPr>
              <w:jc w:val="center"/>
              <w:rPr>
                <w:rFonts w:ascii="Arial" w:hAnsi="Arial" w:cs="Arial"/>
                <w:b/>
                <w:bCs/>
                <w:color w:val="000000"/>
                <w:sz w:val="24"/>
                <w:szCs w:val="24"/>
              </w:rPr>
            </w:pPr>
            <w:r w:rsidRPr="00A64B9D">
              <w:rPr>
                <w:rFonts w:ascii="Arial" w:hAnsi="Arial" w:cs="Arial"/>
                <w:b/>
                <w:bCs/>
                <w:color w:val="000000"/>
                <w:sz w:val="24"/>
                <w:szCs w:val="24"/>
              </w:rPr>
              <w:t>11308</w:t>
            </w:r>
          </w:p>
        </w:tc>
        <w:tc>
          <w:tcPr>
            <w:tcW w:w="1054" w:type="dxa"/>
            <w:tcBorders>
              <w:top w:val="nil"/>
              <w:left w:val="nil"/>
              <w:bottom w:val="single" w:sz="4" w:space="0" w:color="auto"/>
              <w:right w:val="single" w:sz="4" w:space="0" w:color="auto"/>
            </w:tcBorders>
            <w:shd w:val="clear" w:color="000000" w:fill="FCD5B4"/>
            <w:noWrap/>
            <w:vAlign w:val="center"/>
            <w:hideMark/>
          </w:tcPr>
          <w:p w:rsidR="00B70F88" w:rsidRPr="00A64B9D" w:rsidRDefault="00B70F88" w:rsidP="006226F4">
            <w:pPr>
              <w:jc w:val="center"/>
              <w:rPr>
                <w:rFonts w:ascii="Arial" w:hAnsi="Arial" w:cs="Arial"/>
                <w:b/>
                <w:bCs/>
                <w:color w:val="000000"/>
                <w:sz w:val="24"/>
                <w:szCs w:val="24"/>
              </w:rPr>
            </w:pPr>
            <w:r w:rsidRPr="00A64B9D">
              <w:rPr>
                <w:rFonts w:ascii="Arial" w:hAnsi="Arial" w:cs="Arial"/>
                <w:b/>
                <w:bCs/>
                <w:color w:val="000000"/>
                <w:sz w:val="24"/>
                <w:szCs w:val="24"/>
              </w:rPr>
              <w:t>8537</w:t>
            </w:r>
          </w:p>
        </w:tc>
        <w:tc>
          <w:tcPr>
            <w:tcW w:w="1007" w:type="dxa"/>
            <w:tcBorders>
              <w:top w:val="nil"/>
              <w:left w:val="nil"/>
              <w:bottom w:val="single" w:sz="4" w:space="0" w:color="auto"/>
              <w:right w:val="single" w:sz="4" w:space="0" w:color="auto"/>
            </w:tcBorders>
            <w:shd w:val="clear" w:color="000000" w:fill="FCD5B4"/>
            <w:noWrap/>
            <w:vAlign w:val="center"/>
            <w:hideMark/>
          </w:tcPr>
          <w:p w:rsidR="00B70F88" w:rsidRPr="00A64B9D" w:rsidRDefault="00B70F88" w:rsidP="006226F4">
            <w:pPr>
              <w:jc w:val="center"/>
              <w:rPr>
                <w:rFonts w:ascii="Arial" w:hAnsi="Arial" w:cs="Arial"/>
                <w:b/>
                <w:bCs/>
                <w:color w:val="000000"/>
                <w:sz w:val="24"/>
                <w:szCs w:val="24"/>
              </w:rPr>
            </w:pPr>
            <w:r w:rsidRPr="00A64B9D">
              <w:rPr>
                <w:rFonts w:ascii="Arial" w:hAnsi="Arial" w:cs="Arial"/>
                <w:b/>
                <w:bCs/>
                <w:color w:val="000000"/>
                <w:sz w:val="24"/>
                <w:szCs w:val="24"/>
              </w:rPr>
              <w:t>-2771</w:t>
            </w:r>
          </w:p>
        </w:tc>
        <w:tc>
          <w:tcPr>
            <w:tcW w:w="1144" w:type="dxa"/>
            <w:tcBorders>
              <w:top w:val="nil"/>
              <w:left w:val="nil"/>
              <w:bottom w:val="single" w:sz="4" w:space="0" w:color="auto"/>
              <w:right w:val="single" w:sz="4" w:space="0" w:color="auto"/>
            </w:tcBorders>
            <w:shd w:val="clear" w:color="000000" w:fill="FCD5B4"/>
            <w:noWrap/>
            <w:vAlign w:val="center"/>
            <w:hideMark/>
          </w:tcPr>
          <w:p w:rsidR="00B70F88" w:rsidRPr="00A64B9D" w:rsidRDefault="00B70F88" w:rsidP="006226F4">
            <w:pPr>
              <w:jc w:val="center"/>
              <w:rPr>
                <w:rFonts w:ascii="Arial" w:hAnsi="Arial" w:cs="Arial"/>
                <w:b/>
                <w:bCs/>
                <w:color w:val="000000"/>
                <w:sz w:val="24"/>
                <w:szCs w:val="24"/>
              </w:rPr>
            </w:pPr>
            <w:r w:rsidRPr="00A64B9D">
              <w:rPr>
                <w:rFonts w:ascii="Arial" w:hAnsi="Arial" w:cs="Arial"/>
                <w:b/>
                <w:bCs/>
                <w:color w:val="000000"/>
                <w:sz w:val="24"/>
                <w:szCs w:val="24"/>
              </w:rPr>
              <w:t>33386</w:t>
            </w:r>
          </w:p>
        </w:tc>
        <w:tc>
          <w:tcPr>
            <w:tcW w:w="1054" w:type="dxa"/>
            <w:tcBorders>
              <w:top w:val="nil"/>
              <w:left w:val="nil"/>
              <w:bottom w:val="single" w:sz="4" w:space="0" w:color="auto"/>
              <w:right w:val="single" w:sz="4" w:space="0" w:color="auto"/>
            </w:tcBorders>
            <w:shd w:val="clear" w:color="000000" w:fill="FCD5B4"/>
            <w:noWrap/>
            <w:vAlign w:val="center"/>
            <w:hideMark/>
          </w:tcPr>
          <w:p w:rsidR="00B70F88" w:rsidRPr="00A64B9D" w:rsidRDefault="00B70F88" w:rsidP="006226F4">
            <w:pPr>
              <w:jc w:val="center"/>
              <w:rPr>
                <w:rFonts w:ascii="Arial" w:hAnsi="Arial" w:cs="Arial"/>
                <w:b/>
                <w:bCs/>
                <w:color w:val="000000"/>
                <w:sz w:val="24"/>
                <w:szCs w:val="24"/>
              </w:rPr>
            </w:pPr>
            <w:r w:rsidRPr="00A64B9D">
              <w:rPr>
                <w:rFonts w:ascii="Arial" w:hAnsi="Arial" w:cs="Arial"/>
                <w:b/>
                <w:bCs/>
                <w:color w:val="000000"/>
                <w:sz w:val="24"/>
                <w:szCs w:val="24"/>
              </w:rPr>
              <w:t>27577</w:t>
            </w:r>
          </w:p>
        </w:tc>
        <w:tc>
          <w:tcPr>
            <w:tcW w:w="1007" w:type="dxa"/>
            <w:tcBorders>
              <w:top w:val="nil"/>
              <w:left w:val="nil"/>
              <w:bottom w:val="single" w:sz="4" w:space="0" w:color="auto"/>
              <w:right w:val="single" w:sz="4" w:space="0" w:color="auto"/>
            </w:tcBorders>
            <w:shd w:val="clear" w:color="000000" w:fill="FCD5B4"/>
            <w:noWrap/>
            <w:vAlign w:val="center"/>
            <w:hideMark/>
          </w:tcPr>
          <w:p w:rsidR="00B70F88" w:rsidRPr="00A64B9D" w:rsidRDefault="00B70F88" w:rsidP="006226F4">
            <w:pPr>
              <w:jc w:val="center"/>
              <w:rPr>
                <w:rFonts w:ascii="Arial" w:hAnsi="Arial" w:cs="Arial"/>
                <w:b/>
                <w:bCs/>
                <w:color w:val="000000"/>
                <w:sz w:val="24"/>
                <w:szCs w:val="24"/>
              </w:rPr>
            </w:pPr>
            <w:r w:rsidRPr="00A64B9D">
              <w:rPr>
                <w:rFonts w:ascii="Arial" w:hAnsi="Arial" w:cs="Arial"/>
                <w:b/>
                <w:bCs/>
                <w:color w:val="000000"/>
                <w:sz w:val="24"/>
                <w:szCs w:val="24"/>
              </w:rPr>
              <w:t>-5809</w:t>
            </w:r>
          </w:p>
        </w:tc>
      </w:tr>
    </w:tbl>
    <w:p w:rsidR="00B70F88" w:rsidRPr="00A64B9D" w:rsidRDefault="00B70F88" w:rsidP="00B70F88">
      <w:pPr>
        <w:tabs>
          <w:tab w:val="left" w:pos="90"/>
        </w:tabs>
        <w:spacing w:line="360" w:lineRule="auto"/>
        <w:ind w:hanging="450"/>
        <w:jc w:val="both"/>
        <w:rPr>
          <w:rFonts w:ascii="Arial" w:hAnsi="Arial" w:cs="Arial"/>
          <w:i/>
          <w:sz w:val="24"/>
          <w:szCs w:val="24"/>
        </w:rPr>
      </w:pPr>
    </w:p>
    <w:p w:rsidR="00B70F88" w:rsidRPr="00A64B9D" w:rsidRDefault="00B70F88" w:rsidP="00B70F88">
      <w:pPr>
        <w:pStyle w:val="ListParagraph"/>
        <w:spacing w:after="200" w:line="360" w:lineRule="auto"/>
        <w:jc w:val="both"/>
        <w:rPr>
          <w:rFonts w:ascii="Arial" w:hAnsi="Arial" w:cs="Arial"/>
          <w:sz w:val="24"/>
          <w:szCs w:val="24"/>
          <w:highlight w:val="yellow"/>
        </w:rPr>
      </w:pPr>
      <w:r w:rsidRPr="00A64B9D">
        <w:rPr>
          <w:rFonts w:ascii="Arial" w:hAnsi="Arial" w:cs="Arial"/>
          <w:b/>
          <w:sz w:val="24"/>
          <w:szCs w:val="24"/>
        </w:rPr>
        <w:t>Additions to Gross Fixed Assets(GFA):-</w:t>
      </w:r>
      <w:r w:rsidRPr="00A64B9D">
        <w:rPr>
          <w:rFonts w:ascii="Arial" w:hAnsi="Arial" w:cs="Arial"/>
          <w:sz w:val="24"/>
          <w:szCs w:val="24"/>
        </w:rPr>
        <w:t xml:space="preserve"> Less Regulated Rate Base than the approval of the Hon’ble Commission is due to the additions of the fixed assets are less than the approved by the Hon’ble Commission by </w:t>
      </w:r>
      <w:r w:rsidRPr="00A64B9D">
        <w:rPr>
          <w:rFonts w:ascii="Arial" w:hAnsi="Arial" w:cs="Arial"/>
          <w:b/>
          <w:sz w:val="24"/>
          <w:szCs w:val="24"/>
        </w:rPr>
        <w:t>Rs. 5809</w:t>
      </w:r>
      <w:r w:rsidRPr="00A64B9D">
        <w:rPr>
          <w:rFonts w:ascii="Arial" w:hAnsi="Arial" w:cs="Arial"/>
          <w:sz w:val="24"/>
          <w:szCs w:val="24"/>
        </w:rPr>
        <w:t xml:space="preserve"> Crores in the control periods on account of less capital expenditure incurred during years from FY 2014-15 to FY 2018-19.</w:t>
      </w:r>
    </w:p>
    <w:p w:rsidR="00B70F88" w:rsidRPr="00A64B9D" w:rsidRDefault="00B70F88" w:rsidP="00B70F88">
      <w:pPr>
        <w:pStyle w:val="ListParagraph"/>
        <w:spacing w:line="360" w:lineRule="auto"/>
        <w:ind w:left="1152"/>
        <w:rPr>
          <w:rFonts w:ascii="Arial" w:hAnsi="Arial" w:cs="Arial"/>
          <w:sz w:val="24"/>
          <w:szCs w:val="24"/>
          <w:highlight w:val="yellow"/>
        </w:rPr>
      </w:pPr>
      <w:bookmarkStart w:id="9" w:name="_Toc373841457"/>
    </w:p>
    <w:p w:rsidR="00B70F88" w:rsidRPr="00A64B9D" w:rsidRDefault="00B70F88" w:rsidP="00B70F88">
      <w:pPr>
        <w:pStyle w:val="Heading4"/>
        <w:rPr>
          <w:rFonts w:cs="Arial"/>
          <w:sz w:val="24"/>
          <w:szCs w:val="24"/>
        </w:rPr>
      </w:pPr>
      <w:r w:rsidRPr="00A64B9D">
        <w:rPr>
          <w:rFonts w:cs="Arial"/>
          <w:sz w:val="24"/>
          <w:szCs w:val="24"/>
        </w:rPr>
        <w:t>Return on Capital Employed (ROCE)</w:t>
      </w:r>
    </w:p>
    <w:p w:rsidR="00B70F88" w:rsidRPr="00A64B9D" w:rsidRDefault="00B70F88" w:rsidP="00B70F88">
      <w:pPr>
        <w:spacing w:line="360" w:lineRule="auto"/>
        <w:ind w:left="720"/>
        <w:jc w:val="both"/>
        <w:rPr>
          <w:rFonts w:ascii="Arial" w:hAnsi="Arial" w:cs="Arial"/>
          <w:color w:val="000000"/>
          <w:sz w:val="24"/>
          <w:szCs w:val="24"/>
        </w:rPr>
      </w:pPr>
      <w:r w:rsidRPr="00A64B9D">
        <w:rPr>
          <w:rFonts w:ascii="Arial" w:hAnsi="Arial" w:cs="Arial"/>
          <w:color w:val="000000"/>
          <w:sz w:val="24"/>
          <w:szCs w:val="24"/>
        </w:rPr>
        <w:t xml:space="preserve">Discom’s actual ROCE for the </w:t>
      </w:r>
      <w:r w:rsidRPr="00A64B9D">
        <w:rPr>
          <w:rFonts w:ascii="Arial" w:hAnsi="Arial" w:cs="Arial"/>
          <w:sz w:val="24"/>
          <w:szCs w:val="24"/>
        </w:rPr>
        <w:t xml:space="preserve">Third  </w:t>
      </w:r>
      <w:r w:rsidRPr="00A64B9D">
        <w:rPr>
          <w:rFonts w:ascii="Arial" w:hAnsi="Arial" w:cs="Arial"/>
          <w:color w:val="000000"/>
          <w:sz w:val="24"/>
          <w:szCs w:val="24"/>
        </w:rPr>
        <w:t xml:space="preserve">MYT Control period is </w:t>
      </w:r>
      <w:r>
        <w:rPr>
          <w:rFonts w:ascii="Arial" w:hAnsi="Arial" w:cs="Arial"/>
          <w:b/>
          <w:color w:val="000000"/>
          <w:sz w:val="24"/>
          <w:szCs w:val="24"/>
        </w:rPr>
        <w:t xml:space="preserve">Rs. </w:t>
      </w:r>
      <w:r w:rsidRPr="009E3E44">
        <w:rPr>
          <w:rFonts w:ascii="Arial" w:hAnsi="Arial" w:cs="Arial"/>
          <w:b/>
          <w:sz w:val="24"/>
          <w:szCs w:val="24"/>
        </w:rPr>
        <w:t>1030Crs.</w:t>
      </w:r>
      <w:r w:rsidRPr="009E3E44">
        <w:rPr>
          <w:rFonts w:ascii="Arial" w:hAnsi="Arial" w:cs="Arial"/>
          <w:sz w:val="24"/>
          <w:szCs w:val="24"/>
        </w:rPr>
        <w:t xml:space="preserve"> as against the Hon’ble Commission approved expenses of Rs</w:t>
      </w:r>
      <w:r w:rsidRPr="009E3E44">
        <w:rPr>
          <w:rFonts w:ascii="Arial" w:hAnsi="Arial" w:cs="Arial"/>
          <w:b/>
          <w:sz w:val="24"/>
          <w:szCs w:val="24"/>
        </w:rPr>
        <w:t>. 1413Crs.</w:t>
      </w:r>
      <w:r w:rsidRPr="009E3E44">
        <w:rPr>
          <w:rFonts w:ascii="Arial" w:hAnsi="Arial" w:cs="Arial"/>
          <w:sz w:val="24"/>
          <w:szCs w:val="24"/>
        </w:rPr>
        <w:t xml:space="preserve"> resulting in a deviation of </w:t>
      </w:r>
      <w:r w:rsidRPr="009E3E44">
        <w:rPr>
          <w:rFonts w:ascii="Arial" w:hAnsi="Arial" w:cs="Arial"/>
          <w:b/>
          <w:sz w:val="24"/>
          <w:szCs w:val="24"/>
        </w:rPr>
        <w:t>Rs. 384 Crs.</w:t>
      </w:r>
      <w:r w:rsidRPr="009E3E44">
        <w:rPr>
          <w:rFonts w:ascii="Arial" w:hAnsi="Arial" w:cs="Arial"/>
          <w:sz w:val="24"/>
          <w:szCs w:val="24"/>
        </w:rPr>
        <w:t xml:space="preserve"> Summary of Return on Capital Employed (ROCE) line items for FY 2014-15 to FY 2018-19 is as below</w:t>
      </w:r>
      <w:r w:rsidRPr="00A64B9D">
        <w:rPr>
          <w:rFonts w:ascii="Arial" w:hAnsi="Arial" w:cs="Arial"/>
          <w:color w:val="000000"/>
          <w:sz w:val="24"/>
          <w:szCs w:val="24"/>
        </w:rPr>
        <w:t>.</w:t>
      </w:r>
    </w:p>
    <w:p w:rsidR="00B70F88" w:rsidRPr="00A64B9D" w:rsidRDefault="00B70F88" w:rsidP="00B70F88">
      <w:pPr>
        <w:spacing w:line="360" w:lineRule="auto"/>
        <w:ind w:left="720"/>
        <w:jc w:val="right"/>
        <w:rPr>
          <w:rFonts w:ascii="Arial" w:hAnsi="Arial" w:cs="Arial"/>
          <w:b/>
          <w:color w:val="000000"/>
          <w:sz w:val="24"/>
          <w:szCs w:val="24"/>
        </w:rPr>
      </w:pPr>
      <w:r w:rsidRPr="00A64B9D">
        <w:rPr>
          <w:rFonts w:ascii="Arial" w:hAnsi="Arial" w:cs="Arial"/>
          <w:b/>
          <w:color w:val="000000"/>
          <w:sz w:val="24"/>
          <w:szCs w:val="24"/>
        </w:rPr>
        <w:t>Rs. In Crores</w:t>
      </w:r>
    </w:p>
    <w:p w:rsidR="00B70F88" w:rsidRPr="00A64B9D" w:rsidRDefault="00B70F88" w:rsidP="00B70F88">
      <w:pPr>
        <w:spacing w:line="360" w:lineRule="auto"/>
        <w:ind w:left="720"/>
        <w:jc w:val="both"/>
        <w:rPr>
          <w:rFonts w:ascii="Arial" w:hAnsi="Arial" w:cs="Arial"/>
          <w:color w:val="000000"/>
          <w:sz w:val="24"/>
          <w:szCs w:val="24"/>
        </w:rPr>
      </w:pPr>
      <w:r>
        <w:rPr>
          <w:rFonts w:ascii="Arial" w:hAnsi="Arial" w:cs="Arial"/>
          <w:noProof/>
          <w:sz w:val="24"/>
          <w:szCs w:val="24"/>
        </w:rPr>
        <w:drawing>
          <wp:inline distT="0" distB="0" distL="0" distR="0">
            <wp:extent cx="5543550" cy="111442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5543550" cy="1114425"/>
                    </a:xfrm>
                    <a:prstGeom prst="rect">
                      <a:avLst/>
                    </a:prstGeom>
                    <a:noFill/>
                    <a:ln w="9525">
                      <a:noFill/>
                      <a:miter lim="800000"/>
                      <a:headEnd/>
                      <a:tailEnd/>
                    </a:ln>
                  </pic:spPr>
                </pic:pic>
              </a:graphicData>
            </a:graphic>
          </wp:inline>
        </w:drawing>
      </w:r>
    </w:p>
    <w:p w:rsidR="00B70F88" w:rsidRPr="00A64B9D" w:rsidRDefault="00B70F88" w:rsidP="00B70F88">
      <w:pPr>
        <w:pStyle w:val="ListParagraph"/>
        <w:spacing w:line="360" w:lineRule="auto"/>
        <w:ind w:left="864"/>
        <w:jc w:val="both"/>
        <w:rPr>
          <w:rFonts w:ascii="Arial" w:hAnsi="Arial" w:cs="Arial"/>
          <w:sz w:val="24"/>
          <w:szCs w:val="24"/>
          <w:highlight w:val="yellow"/>
        </w:rPr>
      </w:pPr>
      <w:r w:rsidRPr="00A64B9D">
        <w:rPr>
          <w:rFonts w:ascii="Arial" w:hAnsi="Arial" w:cs="Arial"/>
          <w:sz w:val="24"/>
          <w:szCs w:val="24"/>
        </w:rPr>
        <w:t>The lesser RoCE is due to less Regulated Rate Base as compared to approved value by Rs. 2771 Crores and less cost of debt during the control period which was varying from 10.72% to 10.11% p.a. except FY 2016-17 when compared to Commission approved fixed target of 12% p.a.</w:t>
      </w:r>
    </w:p>
    <w:bookmarkEnd w:id="9"/>
    <w:p w:rsidR="00B70F88" w:rsidRPr="00A64B9D" w:rsidRDefault="00B70F88" w:rsidP="00B70F88">
      <w:pPr>
        <w:spacing w:line="360" w:lineRule="auto"/>
        <w:ind w:left="1170" w:hanging="90"/>
        <w:jc w:val="both"/>
        <w:rPr>
          <w:rFonts w:ascii="Arial" w:eastAsia="Arial" w:hAnsi="Arial" w:cs="Arial"/>
          <w:sz w:val="24"/>
          <w:szCs w:val="24"/>
          <w:highlight w:val="yellow"/>
        </w:rPr>
      </w:pPr>
    </w:p>
    <w:p w:rsidR="00B70F88" w:rsidRPr="00A64B9D" w:rsidRDefault="00B70F88" w:rsidP="00B70F88">
      <w:pPr>
        <w:pStyle w:val="Heading4"/>
        <w:rPr>
          <w:rFonts w:cs="Arial"/>
          <w:sz w:val="24"/>
          <w:szCs w:val="24"/>
        </w:rPr>
      </w:pPr>
      <w:bookmarkStart w:id="10" w:name="_Toc373841458"/>
      <w:r w:rsidRPr="00A64B9D">
        <w:rPr>
          <w:rFonts w:cs="Arial"/>
          <w:sz w:val="24"/>
          <w:szCs w:val="24"/>
        </w:rPr>
        <w:t>Depreciation</w:t>
      </w:r>
      <w:bookmarkEnd w:id="10"/>
    </w:p>
    <w:p w:rsidR="00B70F88" w:rsidRPr="00A64B9D" w:rsidRDefault="00B70F88" w:rsidP="00B70F88">
      <w:pPr>
        <w:spacing w:line="360" w:lineRule="auto"/>
        <w:ind w:left="720"/>
        <w:jc w:val="both"/>
        <w:rPr>
          <w:rFonts w:ascii="Arial" w:hAnsi="Arial" w:cs="Arial"/>
          <w:sz w:val="24"/>
          <w:szCs w:val="24"/>
        </w:rPr>
      </w:pPr>
      <w:r w:rsidRPr="00A64B9D">
        <w:rPr>
          <w:rFonts w:ascii="Arial" w:hAnsi="Arial" w:cs="Arial"/>
          <w:sz w:val="24"/>
          <w:szCs w:val="24"/>
        </w:rPr>
        <w:t>NPDCL has incurred the expenditure towards depreciation after netting of the depreciation on consumer contribution portion of Gross Fixed Assets that was less than approved in 3</w:t>
      </w:r>
      <w:r w:rsidRPr="00A64B9D">
        <w:rPr>
          <w:rFonts w:ascii="Arial" w:hAnsi="Arial" w:cs="Arial"/>
          <w:sz w:val="24"/>
          <w:szCs w:val="24"/>
          <w:vertAlign w:val="superscript"/>
        </w:rPr>
        <w:t>rd</w:t>
      </w:r>
      <w:r w:rsidRPr="00A64B9D">
        <w:rPr>
          <w:rFonts w:ascii="Arial" w:hAnsi="Arial" w:cs="Arial"/>
          <w:sz w:val="24"/>
          <w:szCs w:val="24"/>
        </w:rPr>
        <w:t xml:space="preserve"> control period as under. The Licensee has incurred less depreciation than the approval of the Tariff Order by </w:t>
      </w:r>
      <w:r w:rsidRPr="00A64B9D">
        <w:rPr>
          <w:rFonts w:ascii="Arial" w:hAnsi="Arial" w:cs="Arial"/>
          <w:b/>
          <w:sz w:val="24"/>
          <w:szCs w:val="24"/>
        </w:rPr>
        <w:t>Rs. 565</w:t>
      </w:r>
      <w:r w:rsidRPr="00A64B9D">
        <w:rPr>
          <w:rFonts w:ascii="Arial" w:hAnsi="Arial" w:cs="Arial"/>
          <w:sz w:val="24"/>
          <w:szCs w:val="24"/>
        </w:rPr>
        <w:t xml:space="preserve"> Crores due to lesser capitalization of fixed assets than the approval during the control period.  </w:t>
      </w:r>
      <w:r w:rsidRPr="00A64B9D">
        <w:rPr>
          <w:rFonts w:ascii="Arial" w:hAnsi="Arial" w:cs="Arial"/>
          <w:sz w:val="24"/>
          <w:szCs w:val="24"/>
        </w:rPr>
        <w:lastRenderedPageBreak/>
        <w:t>In the tariff order for 3</w:t>
      </w:r>
      <w:r w:rsidRPr="00A64B9D">
        <w:rPr>
          <w:rFonts w:ascii="Arial" w:hAnsi="Arial" w:cs="Arial"/>
          <w:sz w:val="24"/>
          <w:szCs w:val="24"/>
          <w:vertAlign w:val="superscript"/>
        </w:rPr>
        <w:t>rd</w:t>
      </w:r>
      <w:r w:rsidRPr="00A64B9D">
        <w:rPr>
          <w:rFonts w:ascii="Arial" w:hAnsi="Arial" w:cs="Arial"/>
          <w:sz w:val="24"/>
          <w:szCs w:val="24"/>
        </w:rPr>
        <w:t xml:space="preserve"> control period approved by the Hon’ble Commission, the assets funded by grants and consumer contribution were removed for the purpose of computing the depreciation. Hence, the approved depreciation for the control period is net depreciation duly deducting the amortisation of depreciation on consumer contributed assets. The licensee also showed net depreciation while comparing with tariff order approved values. </w:t>
      </w:r>
    </w:p>
    <w:tbl>
      <w:tblPr>
        <w:tblW w:w="6049" w:type="dxa"/>
        <w:tblInd w:w="2639" w:type="dxa"/>
        <w:tblLook w:val="04A0"/>
      </w:tblPr>
      <w:tblGrid>
        <w:gridCol w:w="2938"/>
        <w:gridCol w:w="1237"/>
        <w:gridCol w:w="1121"/>
        <w:gridCol w:w="753"/>
      </w:tblGrid>
      <w:tr w:rsidR="00B70F88" w:rsidRPr="00A64B9D" w:rsidTr="006226F4">
        <w:trPr>
          <w:trHeight w:val="300"/>
        </w:trPr>
        <w:tc>
          <w:tcPr>
            <w:tcW w:w="2938" w:type="dxa"/>
            <w:vMerge w:val="restart"/>
            <w:tcBorders>
              <w:top w:val="single" w:sz="8" w:space="0" w:color="auto"/>
              <w:left w:val="single" w:sz="8" w:space="0" w:color="auto"/>
              <w:bottom w:val="single" w:sz="4" w:space="0" w:color="auto"/>
              <w:right w:val="single" w:sz="4" w:space="0" w:color="auto"/>
            </w:tcBorders>
            <w:shd w:val="clear" w:color="000000" w:fill="17375D"/>
            <w:noWrap/>
            <w:vAlign w:val="center"/>
            <w:hideMark/>
          </w:tcPr>
          <w:p w:rsidR="00B70F88" w:rsidRPr="00A64B9D" w:rsidRDefault="00B70F88" w:rsidP="006226F4">
            <w:pPr>
              <w:jc w:val="center"/>
              <w:rPr>
                <w:rFonts w:ascii="Arial" w:hAnsi="Arial" w:cs="Arial"/>
                <w:b/>
                <w:bCs/>
                <w:color w:val="FFFFFF"/>
                <w:sz w:val="24"/>
                <w:szCs w:val="24"/>
              </w:rPr>
            </w:pPr>
            <w:r w:rsidRPr="00A64B9D">
              <w:rPr>
                <w:rFonts w:ascii="Arial" w:hAnsi="Arial" w:cs="Arial"/>
                <w:b/>
                <w:bCs/>
                <w:color w:val="FFFFFF"/>
                <w:sz w:val="24"/>
                <w:szCs w:val="24"/>
              </w:rPr>
              <w:t>Years</w:t>
            </w:r>
          </w:p>
        </w:tc>
        <w:tc>
          <w:tcPr>
            <w:tcW w:w="3111" w:type="dxa"/>
            <w:gridSpan w:val="3"/>
            <w:tcBorders>
              <w:top w:val="single" w:sz="8" w:space="0" w:color="auto"/>
              <w:left w:val="nil"/>
              <w:bottom w:val="single" w:sz="4" w:space="0" w:color="auto"/>
              <w:right w:val="single" w:sz="4" w:space="0" w:color="auto"/>
            </w:tcBorders>
            <w:shd w:val="clear" w:color="000000" w:fill="17375D"/>
            <w:vAlign w:val="center"/>
            <w:hideMark/>
          </w:tcPr>
          <w:p w:rsidR="00B70F88" w:rsidRPr="00A64B9D" w:rsidRDefault="00B70F88" w:rsidP="006226F4">
            <w:pPr>
              <w:jc w:val="center"/>
              <w:rPr>
                <w:rFonts w:ascii="Arial" w:hAnsi="Arial" w:cs="Arial"/>
                <w:b/>
                <w:bCs/>
                <w:color w:val="FFFFFF"/>
                <w:sz w:val="24"/>
                <w:szCs w:val="24"/>
              </w:rPr>
            </w:pPr>
            <w:r w:rsidRPr="00A64B9D">
              <w:rPr>
                <w:rFonts w:ascii="Arial" w:hAnsi="Arial" w:cs="Arial"/>
                <w:b/>
                <w:bCs/>
                <w:color w:val="FFFFFF"/>
                <w:sz w:val="24"/>
                <w:szCs w:val="24"/>
              </w:rPr>
              <w:t>Net Depreciation Rs. Crs</w:t>
            </w:r>
          </w:p>
        </w:tc>
      </w:tr>
      <w:tr w:rsidR="00B70F88" w:rsidRPr="00A64B9D" w:rsidTr="006226F4">
        <w:trPr>
          <w:trHeight w:val="300"/>
        </w:trPr>
        <w:tc>
          <w:tcPr>
            <w:tcW w:w="2938" w:type="dxa"/>
            <w:vMerge/>
            <w:tcBorders>
              <w:top w:val="single" w:sz="8" w:space="0" w:color="auto"/>
              <w:left w:val="single" w:sz="8" w:space="0" w:color="auto"/>
              <w:bottom w:val="single" w:sz="4" w:space="0" w:color="auto"/>
              <w:right w:val="single" w:sz="4" w:space="0" w:color="auto"/>
            </w:tcBorders>
            <w:vAlign w:val="center"/>
            <w:hideMark/>
          </w:tcPr>
          <w:p w:rsidR="00B70F88" w:rsidRPr="00A64B9D" w:rsidRDefault="00B70F88" w:rsidP="006226F4">
            <w:pPr>
              <w:rPr>
                <w:rFonts w:ascii="Arial" w:hAnsi="Arial" w:cs="Arial"/>
                <w:b/>
                <w:bCs/>
                <w:color w:val="FFFFFF"/>
                <w:sz w:val="24"/>
                <w:szCs w:val="24"/>
              </w:rPr>
            </w:pPr>
          </w:p>
        </w:tc>
        <w:tc>
          <w:tcPr>
            <w:tcW w:w="1237" w:type="dxa"/>
            <w:tcBorders>
              <w:top w:val="nil"/>
              <w:left w:val="nil"/>
              <w:bottom w:val="single" w:sz="4" w:space="0" w:color="auto"/>
              <w:right w:val="single" w:sz="4" w:space="0" w:color="auto"/>
            </w:tcBorders>
            <w:shd w:val="clear" w:color="000000" w:fill="17375D"/>
            <w:noWrap/>
            <w:vAlign w:val="center"/>
            <w:hideMark/>
          </w:tcPr>
          <w:p w:rsidR="00B70F88" w:rsidRPr="00A64B9D" w:rsidRDefault="00B70F88" w:rsidP="006226F4">
            <w:pPr>
              <w:jc w:val="center"/>
              <w:rPr>
                <w:rFonts w:ascii="Arial" w:hAnsi="Arial" w:cs="Arial"/>
                <w:b/>
                <w:bCs/>
                <w:color w:val="FFFFFF"/>
                <w:sz w:val="24"/>
                <w:szCs w:val="24"/>
              </w:rPr>
            </w:pPr>
            <w:r w:rsidRPr="00A64B9D">
              <w:rPr>
                <w:rFonts w:ascii="Arial" w:hAnsi="Arial" w:cs="Arial"/>
                <w:b/>
                <w:bCs/>
                <w:color w:val="FFFFFF"/>
                <w:sz w:val="24"/>
                <w:szCs w:val="24"/>
              </w:rPr>
              <w:t>TSERC</w:t>
            </w:r>
          </w:p>
        </w:tc>
        <w:tc>
          <w:tcPr>
            <w:tcW w:w="1121" w:type="dxa"/>
            <w:tcBorders>
              <w:top w:val="nil"/>
              <w:left w:val="nil"/>
              <w:bottom w:val="single" w:sz="4" w:space="0" w:color="auto"/>
              <w:right w:val="single" w:sz="4" w:space="0" w:color="auto"/>
            </w:tcBorders>
            <w:shd w:val="clear" w:color="000000" w:fill="17375D"/>
            <w:noWrap/>
            <w:vAlign w:val="center"/>
            <w:hideMark/>
          </w:tcPr>
          <w:p w:rsidR="00B70F88" w:rsidRPr="00A64B9D" w:rsidRDefault="00B70F88" w:rsidP="006226F4">
            <w:pPr>
              <w:jc w:val="center"/>
              <w:rPr>
                <w:rFonts w:ascii="Arial" w:hAnsi="Arial" w:cs="Arial"/>
                <w:b/>
                <w:bCs/>
                <w:color w:val="FFFFFF"/>
                <w:sz w:val="24"/>
                <w:szCs w:val="24"/>
              </w:rPr>
            </w:pPr>
            <w:r w:rsidRPr="00A64B9D">
              <w:rPr>
                <w:rFonts w:ascii="Arial" w:hAnsi="Arial" w:cs="Arial"/>
                <w:b/>
                <w:bCs/>
                <w:color w:val="FFFFFF"/>
                <w:sz w:val="24"/>
                <w:szCs w:val="24"/>
              </w:rPr>
              <w:t>Actual</w:t>
            </w:r>
          </w:p>
        </w:tc>
        <w:tc>
          <w:tcPr>
            <w:tcW w:w="753" w:type="dxa"/>
            <w:tcBorders>
              <w:top w:val="nil"/>
              <w:left w:val="nil"/>
              <w:bottom w:val="single" w:sz="4" w:space="0" w:color="auto"/>
              <w:right w:val="single" w:sz="4" w:space="0" w:color="auto"/>
            </w:tcBorders>
            <w:shd w:val="clear" w:color="000000" w:fill="17375D"/>
            <w:noWrap/>
            <w:vAlign w:val="center"/>
            <w:hideMark/>
          </w:tcPr>
          <w:p w:rsidR="00B70F88" w:rsidRPr="00A64B9D" w:rsidRDefault="00B70F88" w:rsidP="006226F4">
            <w:pPr>
              <w:jc w:val="center"/>
              <w:rPr>
                <w:rFonts w:ascii="Arial" w:hAnsi="Arial" w:cs="Arial"/>
                <w:b/>
                <w:bCs/>
                <w:color w:val="FFFFFF"/>
                <w:sz w:val="24"/>
                <w:szCs w:val="24"/>
              </w:rPr>
            </w:pPr>
            <w:r w:rsidRPr="00A64B9D">
              <w:rPr>
                <w:rFonts w:ascii="Arial" w:hAnsi="Arial" w:cs="Arial"/>
                <w:b/>
                <w:bCs/>
                <w:color w:val="FFFFFF"/>
                <w:sz w:val="24"/>
                <w:szCs w:val="24"/>
              </w:rPr>
              <w:t>+/(-)</w:t>
            </w:r>
          </w:p>
        </w:tc>
      </w:tr>
      <w:tr w:rsidR="00B70F88" w:rsidRPr="00A64B9D" w:rsidTr="006226F4">
        <w:trPr>
          <w:trHeight w:val="300"/>
        </w:trPr>
        <w:tc>
          <w:tcPr>
            <w:tcW w:w="2938" w:type="dxa"/>
            <w:tcBorders>
              <w:top w:val="nil"/>
              <w:left w:val="single" w:sz="4" w:space="0" w:color="auto"/>
              <w:bottom w:val="single" w:sz="4" w:space="0" w:color="auto"/>
              <w:right w:val="single" w:sz="4" w:space="0" w:color="auto"/>
            </w:tcBorders>
            <w:shd w:val="clear" w:color="auto" w:fill="auto"/>
            <w:noWrap/>
            <w:vAlign w:val="bottom"/>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FY 2014-15</w:t>
            </w:r>
          </w:p>
        </w:tc>
        <w:tc>
          <w:tcPr>
            <w:tcW w:w="1237"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235</w:t>
            </w:r>
          </w:p>
        </w:tc>
        <w:tc>
          <w:tcPr>
            <w:tcW w:w="1121"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195</w:t>
            </w:r>
          </w:p>
        </w:tc>
        <w:tc>
          <w:tcPr>
            <w:tcW w:w="75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-40</w:t>
            </w:r>
          </w:p>
        </w:tc>
      </w:tr>
      <w:tr w:rsidR="00B70F88" w:rsidRPr="00A64B9D" w:rsidTr="006226F4">
        <w:trPr>
          <w:trHeight w:val="300"/>
        </w:trPr>
        <w:tc>
          <w:tcPr>
            <w:tcW w:w="2938" w:type="dxa"/>
            <w:tcBorders>
              <w:top w:val="nil"/>
              <w:left w:val="single" w:sz="4" w:space="0" w:color="auto"/>
              <w:bottom w:val="single" w:sz="4" w:space="0" w:color="auto"/>
              <w:right w:val="single" w:sz="4" w:space="0" w:color="auto"/>
            </w:tcBorders>
            <w:shd w:val="clear" w:color="auto" w:fill="auto"/>
            <w:noWrap/>
            <w:vAlign w:val="bottom"/>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FY 2015-16</w:t>
            </w:r>
          </w:p>
        </w:tc>
        <w:tc>
          <w:tcPr>
            <w:tcW w:w="1237"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258</w:t>
            </w:r>
          </w:p>
        </w:tc>
        <w:tc>
          <w:tcPr>
            <w:tcW w:w="1121"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133</w:t>
            </w:r>
          </w:p>
        </w:tc>
        <w:tc>
          <w:tcPr>
            <w:tcW w:w="75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-126</w:t>
            </w:r>
          </w:p>
        </w:tc>
      </w:tr>
      <w:tr w:rsidR="00B70F88" w:rsidRPr="00A64B9D" w:rsidTr="006226F4">
        <w:trPr>
          <w:trHeight w:val="300"/>
        </w:trPr>
        <w:tc>
          <w:tcPr>
            <w:tcW w:w="2938" w:type="dxa"/>
            <w:tcBorders>
              <w:top w:val="nil"/>
              <w:left w:val="single" w:sz="4" w:space="0" w:color="auto"/>
              <w:bottom w:val="single" w:sz="4" w:space="0" w:color="auto"/>
              <w:right w:val="single" w:sz="4" w:space="0" w:color="auto"/>
            </w:tcBorders>
            <w:shd w:val="clear" w:color="auto" w:fill="auto"/>
            <w:noWrap/>
            <w:vAlign w:val="bottom"/>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FY 2016-17</w:t>
            </w:r>
          </w:p>
        </w:tc>
        <w:tc>
          <w:tcPr>
            <w:tcW w:w="1237"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312</w:t>
            </w:r>
          </w:p>
        </w:tc>
        <w:tc>
          <w:tcPr>
            <w:tcW w:w="1121"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208</w:t>
            </w:r>
          </w:p>
        </w:tc>
        <w:tc>
          <w:tcPr>
            <w:tcW w:w="75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-103</w:t>
            </w:r>
          </w:p>
        </w:tc>
      </w:tr>
      <w:tr w:rsidR="00B70F88" w:rsidRPr="00A64B9D" w:rsidTr="006226F4">
        <w:trPr>
          <w:trHeight w:val="300"/>
        </w:trPr>
        <w:tc>
          <w:tcPr>
            <w:tcW w:w="2938" w:type="dxa"/>
            <w:tcBorders>
              <w:top w:val="nil"/>
              <w:left w:val="single" w:sz="4" w:space="0" w:color="auto"/>
              <w:bottom w:val="single" w:sz="4" w:space="0" w:color="auto"/>
              <w:right w:val="single" w:sz="4" w:space="0" w:color="auto"/>
            </w:tcBorders>
            <w:shd w:val="clear" w:color="auto" w:fill="auto"/>
            <w:noWrap/>
            <w:vAlign w:val="bottom"/>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FY 2017-18</w:t>
            </w:r>
          </w:p>
        </w:tc>
        <w:tc>
          <w:tcPr>
            <w:tcW w:w="1237"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372</w:t>
            </w:r>
          </w:p>
        </w:tc>
        <w:tc>
          <w:tcPr>
            <w:tcW w:w="1121"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236</w:t>
            </w:r>
          </w:p>
        </w:tc>
        <w:tc>
          <w:tcPr>
            <w:tcW w:w="75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-137</w:t>
            </w:r>
          </w:p>
        </w:tc>
      </w:tr>
      <w:tr w:rsidR="00B70F88" w:rsidRPr="00A64B9D" w:rsidTr="006226F4">
        <w:trPr>
          <w:trHeight w:val="300"/>
        </w:trPr>
        <w:tc>
          <w:tcPr>
            <w:tcW w:w="2938" w:type="dxa"/>
            <w:tcBorders>
              <w:top w:val="nil"/>
              <w:left w:val="single" w:sz="4" w:space="0" w:color="auto"/>
              <w:bottom w:val="single" w:sz="4" w:space="0" w:color="auto"/>
              <w:right w:val="single" w:sz="4" w:space="0" w:color="auto"/>
            </w:tcBorders>
            <w:shd w:val="clear" w:color="auto" w:fill="auto"/>
            <w:noWrap/>
            <w:vAlign w:val="bottom"/>
            <w:hideMark/>
          </w:tcPr>
          <w:p w:rsidR="00B70F88" w:rsidRPr="00A64B9D" w:rsidRDefault="00B70F88" w:rsidP="006226F4">
            <w:pPr>
              <w:jc w:val="center"/>
              <w:rPr>
                <w:rFonts w:ascii="Arial" w:hAnsi="Arial" w:cs="Arial"/>
                <w:color w:val="000000"/>
                <w:sz w:val="24"/>
                <w:szCs w:val="24"/>
              </w:rPr>
            </w:pPr>
            <w:r w:rsidRPr="00A64B9D">
              <w:rPr>
                <w:rFonts w:ascii="Arial" w:hAnsi="Arial" w:cs="Arial"/>
                <w:color w:val="000000"/>
                <w:sz w:val="24"/>
                <w:szCs w:val="24"/>
              </w:rPr>
              <w:t>FY 2018-19</w:t>
            </w:r>
          </w:p>
        </w:tc>
        <w:tc>
          <w:tcPr>
            <w:tcW w:w="1237"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428</w:t>
            </w:r>
          </w:p>
        </w:tc>
        <w:tc>
          <w:tcPr>
            <w:tcW w:w="1121"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268</w:t>
            </w:r>
          </w:p>
        </w:tc>
        <w:tc>
          <w:tcPr>
            <w:tcW w:w="75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-159</w:t>
            </w:r>
          </w:p>
        </w:tc>
      </w:tr>
      <w:tr w:rsidR="00B70F88" w:rsidRPr="00A64B9D" w:rsidTr="006226F4">
        <w:trPr>
          <w:trHeight w:val="300"/>
        </w:trPr>
        <w:tc>
          <w:tcPr>
            <w:tcW w:w="2938" w:type="dxa"/>
            <w:tcBorders>
              <w:top w:val="nil"/>
              <w:left w:val="single" w:sz="4" w:space="0" w:color="auto"/>
              <w:bottom w:val="single" w:sz="4" w:space="0" w:color="auto"/>
              <w:right w:val="single" w:sz="4" w:space="0" w:color="auto"/>
            </w:tcBorders>
            <w:shd w:val="clear" w:color="000000" w:fill="FCD5B4"/>
            <w:noWrap/>
            <w:vAlign w:val="bottom"/>
            <w:hideMark/>
          </w:tcPr>
          <w:p w:rsidR="00B70F88" w:rsidRPr="00A64B9D" w:rsidRDefault="00B70F88" w:rsidP="006226F4">
            <w:pPr>
              <w:jc w:val="center"/>
              <w:rPr>
                <w:rFonts w:ascii="Arial" w:hAnsi="Arial" w:cs="Arial"/>
                <w:b/>
                <w:bCs/>
                <w:color w:val="000000"/>
                <w:sz w:val="24"/>
                <w:szCs w:val="24"/>
              </w:rPr>
            </w:pPr>
            <w:r w:rsidRPr="00A64B9D">
              <w:rPr>
                <w:rFonts w:ascii="Arial" w:hAnsi="Arial" w:cs="Arial"/>
                <w:b/>
                <w:bCs/>
                <w:color w:val="000000"/>
                <w:sz w:val="24"/>
                <w:szCs w:val="24"/>
              </w:rPr>
              <w:t>Total 3rd Control Period</w:t>
            </w:r>
          </w:p>
        </w:tc>
        <w:tc>
          <w:tcPr>
            <w:tcW w:w="1237" w:type="dxa"/>
            <w:tcBorders>
              <w:top w:val="nil"/>
              <w:left w:val="nil"/>
              <w:bottom w:val="single" w:sz="4" w:space="0" w:color="auto"/>
              <w:right w:val="single" w:sz="4" w:space="0" w:color="auto"/>
            </w:tcBorders>
            <w:shd w:val="clear" w:color="000000" w:fill="FCD5B4"/>
            <w:noWrap/>
            <w:vAlign w:val="bottom"/>
            <w:hideMark/>
          </w:tcPr>
          <w:p w:rsidR="00B70F88" w:rsidRPr="00A64B9D" w:rsidRDefault="00B70F88" w:rsidP="006226F4">
            <w:pPr>
              <w:jc w:val="right"/>
              <w:rPr>
                <w:rFonts w:ascii="Arial" w:hAnsi="Arial" w:cs="Arial"/>
                <w:b/>
                <w:bCs/>
                <w:color w:val="000000"/>
                <w:sz w:val="24"/>
                <w:szCs w:val="24"/>
              </w:rPr>
            </w:pPr>
            <w:r w:rsidRPr="00A64B9D">
              <w:rPr>
                <w:rFonts w:ascii="Arial" w:hAnsi="Arial" w:cs="Arial"/>
                <w:b/>
                <w:bCs/>
                <w:color w:val="000000"/>
                <w:sz w:val="24"/>
                <w:szCs w:val="24"/>
              </w:rPr>
              <w:t>1605</w:t>
            </w:r>
          </w:p>
        </w:tc>
        <w:tc>
          <w:tcPr>
            <w:tcW w:w="1121" w:type="dxa"/>
            <w:tcBorders>
              <w:top w:val="nil"/>
              <w:left w:val="nil"/>
              <w:bottom w:val="single" w:sz="4" w:space="0" w:color="auto"/>
              <w:right w:val="single" w:sz="4" w:space="0" w:color="auto"/>
            </w:tcBorders>
            <w:shd w:val="clear" w:color="000000" w:fill="FCD5B4"/>
            <w:noWrap/>
            <w:vAlign w:val="bottom"/>
            <w:hideMark/>
          </w:tcPr>
          <w:p w:rsidR="00B70F88" w:rsidRPr="00A64B9D" w:rsidRDefault="00B70F88" w:rsidP="006226F4">
            <w:pPr>
              <w:jc w:val="right"/>
              <w:rPr>
                <w:rFonts w:ascii="Arial" w:hAnsi="Arial" w:cs="Arial"/>
                <w:b/>
                <w:bCs/>
                <w:color w:val="000000"/>
                <w:sz w:val="24"/>
                <w:szCs w:val="24"/>
              </w:rPr>
            </w:pPr>
            <w:r w:rsidRPr="00A64B9D">
              <w:rPr>
                <w:rFonts w:ascii="Arial" w:hAnsi="Arial" w:cs="Arial"/>
                <w:b/>
                <w:bCs/>
                <w:color w:val="000000"/>
                <w:sz w:val="24"/>
                <w:szCs w:val="24"/>
              </w:rPr>
              <w:t>1040</w:t>
            </w:r>
          </w:p>
        </w:tc>
        <w:tc>
          <w:tcPr>
            <w:tcW w:w="753" w:type="dxa"/>
            <w:tcBorders>
              <w:top w:val="nil"/>
              <w:left w:val="nil"/>
              <w:bottom w:val="single" w:sz="4" w:space="0" w:color="auto"/>
              <w:right w:val="single" w:sz="4" w:space="0" w:color="auto"/>
            </w:tcBorders>
            <w:shd w:val="clear" w:color="000000" w:fill="FCD5B4"/>
            <w:noWrap/>
            <w:vAlign w:val="bottom"/>
            <w:hideMark/>
          </w:tcPr>
          <w:p w:rsidR="00B70F88" w:rsidRPr="00A64B9D" w:rsidRDefault="00B70F88" w:rsidP="006226F4">
            <w:pPr>
              <w:jc w:val="right"/>
              <w:rPr>
                <w:rFonts w:ascii="Arial" w:hAnsi="Arial" w:cs="Arial"/>
                <w:b/>
                <w:bCs/>
                <w:color w:val="000000"/>
                <w:sz w:val="24"/>
                <w:szCs w:val="24"/>
              </w:rPr>
            </w:pPr>
            <w:r w:rsidRPr="00A64B9D">
              <w:rPr>
                <w:rFonts w:ascii="Arial" w:hAnsi="Arial" w:cs="Arial"/>
                <w:b/>
                <w:bCs/>
                <w:color w:val="000000"/>
                <w:sz w:val="24"/>
                <w:szCs w:val="24"/>
              </w:rPr>
              <w:t>-565</w:t>
            </w:r>
          </w:p>
        </w:tc>
      </w:tr>
    </w:tbl>
    <w:p w:rsidR="00B70F88" w:rsidRPr="00A64B9D" w:rsidRDefault="00B70F88" w:rsidP="00B70F88">
      <w:pPr>
        <w:spacing w:line="360" w:lineRule="auto"/>
        <w:ind w:left="720"/>
        <w:jc w:val="both"/>
        <w:rPr>
          <w:rFonts w:ascii="Arial" w:hAnsi="Arial" w:cs="Arial"/>
          <w:sz w:val="24"/>
          <w:szCs w:val="24"/>
        </w:rPr>
      </w:pPr>
    </w:p>
    <w:p w:rsidR="00B70F88" w:rsidRPr="00A64B9D" w:rsidRDefault="00B70F88" w:rsidP="00B70F88">
      <w:pPr>
        <w:pStyle w:val="ListParagraph"/>
        <w:spacing w:after="200" w:line="360" w:lineRule="auto"/>
        <w:jc w:val="both"/>
        <w:rPr>
          <w:rFonts w:ascii="Arial" w:hAnsi="Arial" w:cs="Arial"/>
          <w:sz w:val="24"/>
          <w:szCs w:val="24"/>
          <w:highlight w:val="yellow"/>
        </w:rPr>
      </w:pPr>
      <w:r w:rsidRPr="00A64B9D">
        <w:rPr>
          <w:rFonts w:ascii="Arial" w:hAnsi="Arial" w:cs="Arial"/>
          <w:sz w:val="24"/>
          <w:szCs w:val="24"/>
        </w:rPr>
        <w:t xml:space="preserve">The Assets additions during the control period </w:t>
      </w:r>
      <w:r w:rsidRPr="00A64B9D">
        <w:rPr>
          <w:rFonts w:ascii="Arial" w:hAnsi="Arial" w:cs="Arial"/>
          <w:b/>
          <w:sz w:val="24"/>
          <w:szCs w:val="24"/>
        </w:rPr>
        <w:t>Rs. 5809 Crores</w:t>
      </w:r>
      <w:r w:rsidRPr="00A64B9D">
        <w:rPr>
          <w:rFonts w:ascii="Arial" w:hAnsi="Arial" w:cs="Arial"/>
          <w:sz w:val="24"/>
          <w:szCs w:val="24"/>
        </w:rPr>
        <w:t xml:space="preserve"> are lower than the approved figures in Tariff Order, as a result, the asset base is lower in the control period when compared to Commission approved and resulted in lower depreciation.</w:t>
      </w:r>
    </w:p>
    <w:p w:rsidR="00B70F88" w:rsidRPr="00A64B9D" w:rsidRDefault="00B70F88" w:rsidP="00B70F88">
      <w:pPr>
        <w:pStyle w:val="Heading4"/>
        <w:rPr>
          <w:rFonts w:cs="Arial"/>
          <w:sz w:val="24"/>
          <w:szCs w:val="24"/>
        </w:rPr>
      </w:pPr>
      <w:bookmarkStart w:id="11" w:name="_Toc373841459"/>
      <w:r w:rsidRPr="00A64B9D">
        <w:rPr>
          <w:rFonts w:cs="Arial"/>
          <w:sz w:val="24"/>
          <w:szCs w:val="24"/>
        </w:rPr>
        <w:t>Taxes on Income</w:t>
      </w:r>
      <w:bookmarkEnd w:id="11"/>
    </w:p>
    <w:p w:rsidR="00B70F88" w:rsidRPr="00A64B9D" w:rsidRDefault="00B70F88" w:rsidP="00B70F88">
      <w:pPr>
        <w:spacing w:line="360" w:lineRule="auto"/>
        <w:ind w:left="720"/>
        <w:jc w:val="both"/>
        <w:rPr>
          <w:rFonts w:ascii="Arial" w:hAnsi="Arial" w:cs="Arial"/>
          <w:sz w:val="24"/>
          <w:szCs w:val="24"/>
        </w:rPr>
      </w:pPr>
      <w:r w:rsidRPr="00A64B9D">
        <w:rPr>
          <w:rFonts w:ascii="Arial" w:hAnsi="Arial" w:cs="Arial"/>
          <w:sz w:val="24"/>
          <w:szCs w:val="24"/>
        </w:rPr>
        <w:t>The Hon’ble Commission approved Rs. 47.00Crs. as taxes on income for the Third  MYT Control period, whereas actual taxes on income was nil during the control period..</w:t>
      </w:r>
    </w:p>
    <w:p w:rsidR="00B70F88" w:rsidRPr="00A64B9D" w:rsidRDefault="00B70F88" w:rsidP="00B70F88">
      <w:pPr>
        <w:pStyle w:val="ListParagraph"/>
        <w:spacing w:after="200" w:line="120" w:lineRule="auto"/>
        <w:jc w:val="both"/>
        <w:rPr>
          <w:rFonts w:ascii="Arial" w:hAnsi="Arial" w:cs="Arial"/>
          <w:sz w:val="24"/>
          <w:szCs w:val="24"/>
          <w:highlight w:val="yellow"/>
        </w:rPr>
      </w:pPr>
    </w:p>
    <w:p w:rsidR="00B70F88" w:rsidRPr="00A64B9D" w:rsidRDefault="00B70F88" w:rsidP="00B70F88">
      <w:pPr>
        <w:pStyle w:val="Heading4"/>
        <w:rPr>
          <w:rFonts w:cs="Arial"/>
          <w:sz w:val="24"/>
          <w:szCs w:val="24"/>
        </w:rPr>
      </w:pPr>
      <w:bookmarkStart w:id="12" w:name="_Toc373841460"/>
      <w:r w:rsidRPr="00A64B9D">
        <w:rPr>
          <w:rFonts w:cs="Arial"/>
          <w:sz w:val="24"/>
          <w:szCs w:val="24"/>
        </w:rPr>
        <w:lastRenderedPageBreak/>
        <w:t>Special Appropriation for Safety Measures</w:t>
      </w:r>
      <w:bookmarkEnd w:id="12"/>
    </w:p>
    <w:p w:rsidR="00B70F88" w:rsidRPr="00A64B9D" w:rsidRDefault="00B70F88" w:rsidP="00B70F88">
      <w:pPr>
        <w:pStyle w:val="ListParagraph"/>
        <w:spacing w:after="200" w:line="360" w:lineRule="auto"/>
        <w:jc w:val="both"/>
        <w:rPr>
          <w:rFonts w:ascii="Arial" w:hAnsi="Arial" w:cs="Arial"/>
          <w:sz w:val="24"/>
          <w:szCs w:val="24"/>
          <w:highlight w:val="yellow"/>
        </w:rPr>
      </w:pPr>
      <w:r w:rsidRPr="00A64B9D">
        <w:rPr>
          <w:rFonts w:ascii="Arial" w:hAnsi="Arial" w:cs="Arial"/>
          <w:sz w:val="24"/>
          <w:szCs w:val="24"/>
        </w:rPr>
        <w:t xml:space="preserve">The Hon’ble Commission approved </w:t>
      </w:r>
      <w:r w:rsidRPr="00A64B9D">
        <w:rPr>
          <w:rFonts w:ascii="Arial" w:hAnsi="Arial" w:cs="Arial"/>
          <w:b/>
          <w:sz w:val="24"/>
          <w:szCs w:val="24"/>
        </w:rPr>
        <w:t>Rs. 293 Crs.</w:t>
      </w:r>
      <w:r w:rsidRPr="00A64B9D">
        <w:rPr>
          <w:rFonts w:ascii="Arial" w:hAnsi="Arial" w:cs="Arial"/>
          <w:sz w:val="24"/>
          <w:szCs w:val="24"/>
        </w:rPr>
        <w:t xml:space="preserve"> towards Special Appropriation for Safety Measures for the Third MYT Control Period. </w:t>
      </w:r>
      <w:r w:rsidRPr="00A64B9D">
        <w:rPr>
          <w:rFonts w:ascii="Arial" w:eastAsia="Arial" w:hAnsi="Arial" w:cs="Arial"/>
          <w:sz w:val="24"/>
          <w:szCs w:val="24"/>
        </w:rPr>
        <w:t xml:space="preserve">The licensee has incurred an amount of Rs. 52 Crores under safety measures during the control period. </w:t>
      </w:r>
    </w:p>
    <w:p w:rsidR="00B70F88" w:rsidRPr="00A64B9D" w:rsidRDefault="00B70F88" w:rsidP="00B70F88">
      <w:pPr>
        <w:pStyle w:val="Heading4"/>
        <w:rPr>
          <w:rFonts w:cs="Arial"/>
          <w:sz w:val="24"/>
          <w:szCs w:val="24"/>
        </w:rPr>
      </w:pPr>
      <w:bookmarkStart w:id="13" w:name="_Toc373841461"/>
      <w:r w:rsidRPr="00A64B9D">
        <w:rPr>
          <w:rFonts w:cs="Arial"/>
          <w:sz w:val="24"/>
          <w:szCs w:val="24"/>
        </w:rPr>
        <w:t>Other Expenditure</w:t>
      </w:r>
      <w:bookmarkEnd w:id="13"/>
    </w:p>
    <w:p w:rsidR="00B70F88" w:rsidRPr="00A64B9D" w:rsidRDefault="00B70F88" w:rsidP="00B70F88">
      <w:pPr>
        <w:pStyle w:val="ListParagraph"/>
        <w:spacing w:after="200" w:line="360" w:lineRule="auto"/>
        <w:jc w:val="both"/>
        <w:rPr>
          <w:rFonts w:ascii="Arial" w:hAnsi="Arial" w:cs="Arial"/>
          <w:sz w:val="24"/>
          <w:szCs w:val="24"/>
        </w:rPr>
      </w:pPr>
      <w:r w:rsidRPr="00A64B9D">
        <w:rPr>
          <w:rFonts w:ascii="Arial" w:hAnsi="Arial" w:cs="Arial"/>
          <w:sz w:val="24"/>
          <w:szCs w:val="24"/>
        </w:rPr>
        <w:t xml:space="preserve">The Other Expenditure for the Third MYT Control Period incurred is </w:t>
      </w:r>
      <w:r w:rsidRPr="00A64B9D">
        <w:rPr>
          <w:rFonts w:ascii="Arial" w:hAnsi="Arial" w:cs="Arial"/>
          <w:b/>
          <w:sz w:val="24"/>
          <w:szCs w:val="24"/>
        </w:rPr>
        <w:t xml:space="preserve">Rs.6.96 Crs </w:t>
      </w:r>
      <w:r w:rsidRPr="00A64B9D">
        <w:rPr>
          <w:rFonts w:ascii="Arial" w:hAnsi="Arial" w:cs="Arial"/>
          <w:sz w:val="24"/>
          <w:szCs w:val="24"/>
        </w:rPr>
        <w:t xml:space="preserve">as against to the approved expenses of </w:t>
      </w:r>
      <w:r w:rsidRPr="00A64B9D">
        <w:rPr>
          <w:rFonts w:ascii="Arial" w:hAnsi="Arial" w:cs="Arial"/>
          <w:b/>
          <w:sz w:val="24"/>
          <w:szCs w:val="24"/>
        </w:rPr>
        <w:t xml:space="preserve">Rs. 6.91 </w:t>
      </w:r>
      <w:r w:rsidRPr="00A64B9D">
        <w:rPr>
          <w:rFonts w:ascii="Arial" w:hAnsi="Arial" w:cs="Arial"/>
          <w:sz w:val="24"/>
          <w:szCs w:val="24"/>
        </w:rPr>
        <w:t>crores</w:t>
      </w:r>
      <w:r w:rsidRPr="00A64B9D">
        <w:rPr>
          <w:rFonts w:ascii="Arial" w:hAnsi="Arial" w:cs="Arial"/>
          <w:b/>
          <w:sz w:val="24"/>
          <w:szCs w:val="24"/>
        </w:rPr>
        <w:t xml:space="preserve"> </w:t>
      </w:r>
    </w:p>
    <w:p w:rsidR="00B70F88" w:rsidRPr="00A64B9D" w:rsidRDefault="00B70F88" w:rsidP="00B70F88">
      <w:pPr>
        <w:pStyle w:val="Heading4"/>
        <w:rPr>
          <w:rFonts w:cs="Arial"/>
          <w:sz w:val="24"/>
          <w:szCs w:val="24"/>
        </w:rPr>
      </w:pPr>
      <w:r w:rsidRPr="00A64B9D">
        <w:rPr>
          <w:rFonts w:cs="Arial"/>
          <w:sz w:val="24"/>
          <w:szCs w:val="24"/>
        </w:rPr>
        <w:t>Non-Tariff Income &amp; Wheeling Revenue</w:t>
      </w:r>
    </w:p>
    <w:p w:rsidR="00B70F88" w:rsidRPr="00A64B9D" w:rsidRDefault="00B70F88" w:rsidP="00B70F88">
      <w:pPr>
        <w:pStyle w:val="ListParagraph"/>
        <w:spacing w:after="200" w:line="360" w:lineRule="auto"/>
        <w:ind w:left="864"/>
        <w:jc w:val="both"/>
        <w:rPr>
          <w:rFonts w:ascii="Arial" w:hAnsi="Arial" w:cs="Arial"/>
          <w:sz w:val="24"/>
          <w:szCs w:val="24"/>
        </w:rPr>
      </w:pPr>
      <w:r w:rsidRPr="00A64B9D">
        <w:rPr>
          <w:rFonts w:ascii="Arial" w:hAnsi="Arial" w:cs="Arial"/>
          <w:sz w:val="24"/>
          <w:szCs w:val="24"/>
        </w:rPr>
        <w:t>The approved Non-Tariff income in the 3</w:t>
      </w:r>
      <w:r w:rsidRPr="00A64B9D">
        <w:rPr>
          <w:rFonts w:ascii="Arial" w:hAnsi="Arial" w:cs="Arial"/>
          <w:sz w:val="24"/>
          <w:szCs w:val="24"/>
          <w:vertAlign w:val="superscript"/>
        </w:rPr>
        <w:t>rd</w:t>
      </w:r>
      <w:r w:rsidRPr="00A64B9D">
        <w:rPr>
          <w:rFonts w:ascii="Arial" w:hAnsi="Arial" w:cs="Arial"/>
          <w:sz w:val="24"/>
          <w:szCs w:val="24"/>
        </w:rPr>
        <w:t xml:space="preserve"> MYT Distribution Tariff order includes Non-tariff income of the Distribution Business, Revenue estimates from wheeling charges and the amortisation of depreciation on consumer contributed assets.</w:t>
      </w:r>
    </w:p>
    <w:p w:rsidR="00B70F88" w:rsidRPr="00A64B9D" w:rsidRDefault="00B70F88" w:rsidP="00B70F88">
      <w:pPr>
        <w:pStyle w:val="ListParagraph"/>
        <w:spacing w:after="200" w:line="360" w:lineRule="auto"/>
        <w:ind w:left="864"/>
        <w:jc w:val="both"/>
        <w:rPr>
          <w:rFonts w:ascii="Arial" w:hAnsi="Arial" w:cs="Arial"/>
          <w:sz w:val="24"/>
          <w:szCs w:val="24"/>
        </w:rPr>
      </w:pPr>
      <w:r w:rsidRPr="00A64B9D">
        <w:rPr>
          <w:rFonts w:ascii="Arial" w:hAnsi="Arial" w:cs="Arial"/>
          <w:sz w:val="24"/>
          <w:szCs w:val="24"/>
        </w:rPr>
        <w:t xml:space="preserve">The Honble Commission has approved </w:t>
      </w:r>
      <w:r w:rsidRPr="00A64B9D">
        <w:rPr>
          <w:rFonts w:ascii="Arial" w:hAnsi="Arial" w:cs="Arial"/>
          <w:b/>
          <w:sz w:val="24"/>
          <w:szCs w:val="24"/>
        </w:rPr>
        <w:t xml:space="preserve">Rs. 671 </w:t>
      </w:r>
      <w:r w:rsidRPr="00A64B9D">
        <w:rPr>
          <w:rFonts w:ascii="Arial" w:hAnsi="Arial" w:cs="Arial"/>
          <w:sz w:val="24"/>
          <w:szCs w:val="24"/>
        </w:rPr>
        <w:t xml:space="preserve">crores under Non-Tariff Income Projections for the Third MYT. The DISCOM has earned Non-Tariff Income excluding amortisation of depreciation on consumer contributed assets the third MYT is </w:t>
      </w:r>
      <w:r w:rsidRPr="00A64B9D">
        <w:rPr>
          <w:rFonts w:ascii="Arial" w:hAnsi="Arial" w:cs="Arial"/>
          <w:b/>
          <w:sz w:val="24"/>
          <w:szCs w:val="24"/>
        </w:rPr>
        <w:t>Rs. 156</w:t>
      </w:r>
      <w:r w:rsidRPr="00A64B9D">
        <w:rPr>
          <w:rFonts w:ascii="Arial" w:hAnsi="Arial" w:cs="Arial"/>
          <w:sz w:val="24"/>
          <w:szCs w:val="24"/>
        </w:rPr>
        <w:t xml:space="preserve"> crores and amortisation of depreciation on consumer contributed assets are deducted from depreciation as per the Tariff Order. </w:t>
      </w:r>
    </w:p>
    <w:p w:rsidR="00B70F88" w:rsidRPr="00A64B9D" w:rsidRDefault="00B70F88" w:rsidP="00B70F88">
      <w:pPr>
        <w:spacing w:line="360" w:lineRule="auto"/>
        <w:ind w:left="810"/>
        <w:contextualSpacing/>
        <w:jc w:val="right"/>
        <w:rPr>
          <w:rFonts w:ascii="Arial" w:eastAsia="Arial" w:hAnsi="Arial" w:cs="Arial"/>
          <w:sz w:val="24"/>
          <w:szCs w:val="24"/>
        </w:rPr>
      </w:pPr>
      <w:r w:rsidRPr="00A64B9D">
        <w:rPr>
          <w:rFonts w:ascii="Arial" w:hAnsi="Arial" w:cs="Arial"/>
          <w:b/>
          <w:sz w:val="24"/>
          <w:szCs w:val="24"/>
        </w:rPr>
        <w:t>All figures in Rs. Crs</w:t>
      </w:r>
      <w:r w:rsidRPr="00A64B9D">
        <w:rPr>
          <w:rFonts w:ascii="Arial" w:hAnsi="Arial" w:cs="Arial"/>
          <w:sz w:val="24"/>
          <w:szCs w:val="24"/>
        </w:rPr>
        <w:t>.</w:t>
      </w:r>
    </w:p>
    <w:tbl>
      <w:tblPr>
        <w:tblW w:w="9383" w:type="dxa"/>
        <w:tblInd w:w="764" w:type="dxa"/>
        <w:tblLook w:val="04A0"/>
      </w:tblPr>
      <w:tblGrid>
        <w:gridCol w:w="4518"/>
        <w:gridCol w:w="973"/>
        <w:gridCol w:w="973"/>
        <w:gridCol w:w="973"/>
        <w:gridCol w:w="973"/>
        <w:gridCol w:w="973"/>
      </w:tblGrid>
      <w:tr w:rsidR="00B70F88" w:rsidRPr="00A64B9D" w:rsidTr="006226F4">
        <w:trPr>
          <w:trHeight w:val="319"/>
        </w:trPr>
        <w:tc>
          <w:tcPr>
            <w:tcW w:w="4518" w:type="dxa"/>
            <w:tcBorders>
              <w:top w:val="single" w:sz="4" w:space="0" w:color="auto"/>
              <w:left w:val="single" w:sz="4" w:space="0" w:color="auto"/>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szCs w:val="24"/>
              </w:rPr>
            </w:pPr>
            <w:r w:rsidRPr="00A45EA8">
              <w:rPr>
                <w:rFonts w:ascii="Arial" w:hAnsi="Arial" w:cs="Arial"/>
                <w:b/>
                <w:bCs/>
                <w:color w:val="FFFFFF"/>
                <w:szCs w:val="24"/>
              </w:rPr>
              <w:t>Particulars</w:t>
            </w:r>
          </w:p>
        </w:tc>
        <w:tc>
          <w:tcPr>
            <w:tcW w:w="973"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szCs w:val="24"/>
              </w:rPr>
            </w:pPr>
            <w:r w:rsidRPr="00A45EA8">
              <w:rPr>
                <w:rFonts w:ascii="Arial" w:hAnsi="Arial" w:cs="Arial"/>
                <w:b/>
                <w:bCs/>
                <w:color w:val="FFFFFF"/>
                <w:szCs w:val="24"/>
              </w:rPr>
              <w:t>2014-15</w:t>
            </w:r>
          </w:p>
        </w:tc>
        <w:tc>
          <w:tcPr>
            <w:tcW w:w="973"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szCs w:val="24"/>
              </w:rPr>
            </w:pPr>
            <w:r w:rsidRPr="00A45EA8">
              <w:rPr>
                <w:rFonts w:ascii="Arial" w:hAnsi="Arial" w:cs="Arial"/>
                <w:b/>
                <w:bCs/>
                <w:color w:val="FFFFFF"/>
                <w:szCs w:val="24"/>
              </w:rPr>
              <w:t>2015-16</w:t>
            </w:r>
          </w:p>
        </w:tc>
        <w:tc>
          <w:tcPr>
            <w:tcW w:w="973"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szCs w:val="24"/>
              </w:rPr>
            </w:pPr>
            <w:r w:rsidRPr="00A45EA8">
              <w:rPr>
                <w:rFonts w:ascii="Arial" w:hAnsi="Arial" w:cs="Arial"/>
                <w:b/>
                <w:bCs/>
                <w:color w:val="FFFFFF"/>
                <w:szCs w:val="24"/>
              </w:rPr>
              <w:t>2016-17</w:t>
            </w:r>
          </w:p>
        </w:tc>
        <w:tc>
          <w:tcPr>
            <w:tcW w:w="973"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szCs w:val="24"/>
              </w:rPr>
            </w:pPr>
            <w:r w:rsidRPr="00A45EA8">
              <w:rPr>
                <w:rFonts w:ascii="Arial" w:hAnsi="Arial" w:cs="Arial"/>
                <w:b/>
                <w:bCs/>
                <w:color w:val="FFFFFF"/>
                <w:szCs w:val="24"/>
              </w:rPr>
              <w:t>2017-18</w:t>
            </w:r>
          </w:p>
        </w:tc>
        <w:tc>
          <w:tcPr>
            <w:tcW w:w="973" w:type="dxa"/>
            <w:tcBorders>
              <w:top w:val="single" w:sz="4" w:space="0" w:color="auto"/>
              <w:left w:val="nil"/>
              <w:bottom w:val="single" w:sz="4" w:space="0" w:color="auto"/>
              <w:right w:val="single" w:sz="4" w:space="0" w:color="auto"/>
            </w:tcBorders>
            <w:shd w:val="clear" w:color="000000" w:fill="17375D"/>
            <w:vAlign w:val="center"/>
            <w:hideMark/>
          </w:tcPr>
          <w:p w:rsidR="00B70F88" w:rsidRPr="00A45EA8" w:rsidRDefault="00B70F88" w:rsidP="006226F4">
            <w:pPr>
              <w:jc w:val="center"/>
              <w:rPr>
                <w:rFonts w:ascii="Arial" w:hAnsi="Arial" w:cs="Arial"/>
                <w:b/>
                <w:bCs/>
                <w:color w:val="FFFFFF"/>
                <w:szCs w:val="24"/>
              </w:rPr>
            </w:pPr>
            <w:r w:rsidRPr="00A45EA8">
              <w:rPr>
                <w:rFonts w:ascii="Arial" w:hAnsi="Arial" w:cs="Arial"/>
                <w:b/>
                <w:bCs/>
                <w:color w:val="FFFFFF"/>
                <w:szCs w:val="24"/>
              </w:rPr>
              <w:t xml:space="preserve">2018-19 </w:t>
            </w:r>
          </w:p>
        </w:tc>
      </w:tr>
      <w:tr w:rsidR="00B70F88" w:rsidRPr="00A64B9D" w:rsidTr="006226F4">
        <w:trPr>
          <w:trHeight w:val="319"/>
        </w:trPr>
        <w:tc>
          <w:tcPr>
            <w:tcW w:w="4518" w:type="dxa"/>
            <w:tcBorders>
              <w:top w:val="nil"/>
              <w:left w:val="single" w:sz="4" w:space="0" w:color="auto"/>
              <w:bottom w:val="single" w:sz="4" w:space="0" w:color="auto"/>
              <w:right w:val="single" w:sz="4" w:space="0" w:color="auto"/>
            </w:tcBorders>
            <w:shd w:val="clear" w:color="000000" w:fill="FFFFFF"/>
            <w:noWrap/>
            <w:vAlign w:val="bottom"/>
            <w:hideMark/>
          </w:tcPr>
          <w:p w:rsidR="00B70F88" w:rsidRPr="00A64B9D" w:rsidRDefault="00B70F88" w:rsidP="006226F4">
            <w:pPr>
              <w:rPr>
                <w:rFonts w:ascii="Arial" w:hAnsi="Arial" w:cs="Arial"/>
                <w:sz w:val="24"/>
                <w:szCs w:val="24"/>
              </w:rPr>
            </w:pPr>
            <w:r w:rsidRPr="00A64B9D">
              <w:rPr>
                <w:rFonts w:ascii="Arial" w:hAnsi="Arial" w:cs="Arial"/>
                <w:sz w:val="24"/>
                <w:szCs w:val="24"/>
              </w:rPr>
              <w:t>Interest on Staff Loans and Advances</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0.17</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0.12</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0.11</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0.16</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4.29</w:t>
            </w:r>
          </w:p>
        </w:tc>
      </w:tr>
      <w:tr w:rsidR="00B70F88" w:rsidRPr="00A64B9D" w:rsidTr="006226F4">
        <w:trPr>
          <w:trHeight w:val="319"/>
        </w:trPr>
        <w:tc>
          <w:tcPr>
            <w:tcW w:w="4518" w:type="dxa"/>
            <w:tcBorders>
              <w:top w:val="nil"/>
              <w:left w:val="single" w:sz="4" w:space="0" w:color="auto"/>
              <w:bottom w:val="single" w:sz="4" w:space="0" w:color="auto"/>
              <w:right w:val="single" w:sz="4" w:space="0" w:color="auto"/>
            </w:tcBorders>
            <w:shd w:val="clear" w:color="000000" w:fill="FFFFFF"/>
            <w:noWrap/>
            <w:vAlign w:val="bottom"/>
            <w:hideMark/>
          </w:tcPr>
          <w:p w:rsidR="00B70F88" w:rsidRPr="00A64B9D" w:rsidRDefault="00B70F88" w:rsidP="006226F4">
            <w:pPr>
              <w:rPr>
                <w:rFonts w:ascii="Arial" w:hAnsi="Arial" w:cs="Arial"/>
                <w:sz w:val="24"/>
                <w:szCs w:val="24"/>
              </w:rPr>
            </w:pPr>
            <w:r w:rsidRPr="00A64B9D">
              <w:rPr>
                <w:rFonts w:ascii="Arial" w:hAnsi="Arial" w:cs="Arial"/>
                <w:sz w:val="24"/>
                <w:szCs w:val="24"/>
              </w:rPr>
              <w:t>Income from Investments</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8.38</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14.54</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11.81</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15.89</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20.09</w:t>
            </w:r>
          </w:p>
        </w:tc>
      </w:tr>
      <w:tr w:rsidR="00B70F88" w:rsidRPr="00A64B9D" w:rsidTr="006226F4">
        <w:trPr>
          <w:trHeight w:val="319"/>
        </w:trPr>
        <w:tc>
          <w:tcPr>
            <w:tcW w:w="4518" w:type="dxa"/>
            <w:tcBorders>
              <w:top w:val="nil"/>
              <w:left w:val="single" w:sz="4" w:space="0" w:color="auto"/>
              <w:bottom w:val="single" w:sz="4" w:space="0" w:color="auto"/>
              <w:right w:val="single" w:sz="4" w:space="0" w:color="auto"/>
            </w:tcBorders>
            <w:shd w:val="clear" w:color="000000" w:fill="FFFFFF"/>
            <w:noWrap/>
            <w:vAlign w:val="bottom"/>
            <w:hideMark/>
          </w:tcPr>
          <w:p w:rsidR="00B70F88" w:rsidRPr="00A64B9D" w:rsidRDefault="00B70F88" w:rsidP="006226F4">
            <w:pPr>
              <w:rPr>
                <w:rFonts w:ascii="Arial" w:hAnsi="Arial" w:cs="Arial"/>
                <w:sz w:val="24"/>
                <w:szCs w:val="24"/>
              </w:rPr>
            </w:pPr>
            <w:r w:rsidRPr="00A64B9D">
              <w:rPr>
                <w:rFonts w:ascii="Arial" w:hAnsi="Arial" w:cs="Arial"/>
                <w:sz w:val="24"/>
                <w:szCs w:val="24"/>
              </w:rPr>
              <w:t>Income from Trading - Sale of Scrap / Stores</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0.62</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-0.55</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-5.04</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1.93</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0.53</w:t>
            </w:r>
          </w:p>
        </w:tc>
      </w:tr>
      <w:tr w:rsidR="00B70F88" w:rsidRPr="00A64B9D" w:rsidTr="006226F4">
        <w:trPr>
          <w:trHeight w:val="319"/>
        </w:trPr>
        <w:tc>
          <w:tcPr>
            <w:tcW w:w="4518" w:type="dxa"/>
            <w:tcBorders>
              <w:top w:val="nil"/>
              <w:left w:val="single" w:sz="4" w:space="0" w:color="auto"/>
              <w:bottom w:val="single" w:sz="4" w:space="0" w:color="auto"/>
              <w:right w:val="single" w:sz="4" w:space="0" w:color="auto"/>
            </w:tcBorders>
            <w:shd w:val="clear" w:color="auto" w:fill="auto"/>
            <w:noWrap/>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Excess found on Physical Verification of Stoc</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0.34</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0.10</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0.16</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1.10</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0.18</w:t>
            </w:r>
          </w:p>
        </w:tc>
      </w:tr>
      <w:tr w:rsidR="00B70F88" w:rsidRPr="00A64B9D" w:rsidTr="006226F4">
        <w:trPr>
          <w:trHeight w:val="319"/>
        </w:trPr>
        <w:tc>
          <w:tcPr>
            <w:tcW w:w="4518" w:type="dxa"/>
            <w:tcBorders>
              <w:top w:val="nil"/>
              <w:left w:val="single" w:sz="4" w:space="0" w:color="auto"/>
              <w:bottom w:val="single" w:sz="4" w:space="0" w:color="auto"/>
              <w:right w:val="single" w:sz="4" w:space="0" w:color="auto"/>
            </w:tcBorders>
            <w:shd w:val="clear" w:color="auto" w:fill="auto"/>
            <w:noWrap/>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Registration Fees</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0.26</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0.47</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0.69</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0.38</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0.33</w:t>
            </w:r>
          </w:p>
        </w:tc>
      </w:tr>
      <w:tr w:rsidR="00B70F88" w:rsidRPr="00A64B9D" w:rsidTr="006226F4">
        <w:trPr>
          <w:trHeight w:val="319"/>
        </w:trPr>
        <w:tc>
          <w:tcPr>
            <w:tcW w:w="4518" w:type="dxa"/>
            <w:tcBorders>
              <w:top w:val="nil"/>
              <w:left w:val="single" w:sz="4" w:space="0" w:color="auto"/>
              <w:bottom w:val="single" w:sz="4" w:space="0" w:color="auto"/>
              <w:right w:val="single" w:sz="4" w:space="0" w:color="auto"/>
            </w:tcBorders>
            <w:shd w:val="clear" w:color="auto" w:fill="auto"/>
            <w:noWrap/>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Discounts received from vendors</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0.00</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0.00</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0.00</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0.00</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0.00</w:t>
            </w:r>
          </w:p>
        </w:tc>
      </w:tr>
      <w:tr w:rsidR="00B70F88" w:rsidRPr="00A64B9D" w:rsidTr="006226F4">
        <w:trPr>
          <w:trHeight w:val="319"/>
        </w:trPr>
        <w:tc>
          <w:tcPr>
            <w:tcW w:w="4518" w:type="dxa"/>
            <w:tcBorders>
              <w:top w:val="nil"/>
              <w:left w:val="single" w:sz="4" w:space="0" w:color="auto"/>
              <w:bottom w:val="single" w:sz="4" w:space="0" w:color="auto"/>
              <w:right w:val="single" w:sz="4" w:space="0" w:color="auto"/>
            </w:tcBorders>
            <w:shd w:val="clear" w:color="auto" w:fill="auto"/>
            <w:noWrap/>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lastRenderedPageBreak/>
              <w:t>Fines/Penalties from Contractors</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0.40</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0.15</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0.63</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0.46</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0.00</w:t>
            </w:r>
          </w:p>
        </w:tc>
      </w:tr>
      <w:tr w:rsidR="00B70F88" w:rsidRPr="00A64B9D" w:rsidTr="006226F4">
        <w:trPr>
          <w:trHeight w:val="319"/>
        </w:trPr>
        <w:tc>
          <w:tcPr>
            <w:tcW w:w="4518" w:type="dxa"/>
            <w:tcBorders>
              <w:top w:val="nil"/>
              <w:left w:val="single" w:sz="4" w:space="0" w:color="auto"/>
              <w:bottom w:val="single" w:sz="4" w:space="0" w:color="auto"/>
              <w:right w:val="single" w:sz="4" w:space="0" w:color="auto"/>
            </w:tcBorders>
            <w:shd w:val="clear" w:color="auto" w:fill="auto"/>
            <w:noWrap/>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Fines/Penalties from Suppliers/Mat Cust.</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5.42</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4.41</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9.49</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6.96</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11.68</w:t>
            </w:r>
          </w:p>
        </w:tc>
      </w:tr>
      <w:tr w:rsidR="00B70F88" w:rsidRPr="00A64B9D" w:rsidTr="006226F4">
        <w:trPr>
          <w:trHeight w:val="319"/>
        </w:trPr>
        <w:tc>
          <w:tcPr>
            <w:tcW w:w="4518" w:type="dxa"/>
            <w:tcBorders>
              <w:top w:val="nil"/>
              <w:left w:val="single" w:sz="4" w:space="0" w:color="auto"/>
              <w:bottom w:val="single" w:sz="4" w:space="0" w:color="auto"/>
              <w:right w:val="single" w:sz="4" w:space="0" w:color="auto"/>
            </w:tcBorders>
            <w:shd w:val="clear" w:color="auto" w:fill="auto"/>
            <w:noWrap/>
            <w:vAlign w:val="bottom"/>
            <w:hideMark/>
          </w:tcPr>
          <w:p w:rsidR="00B70F88" w:rsidRPr="00A64B9D" w:rsidRDefault="00B70F88" w:rsidP="006226F4">
            <w:pPr>
              <w:rPr>
                <w:rFonts w:ascii="Arial" w:hAnsi="Arial" w:cs="Arial"/>
                <w:sz w:val="24"/>
                <w:szCs w:val="24"/>
              </w:rPr>
            </w:pPr>
            <w:r w:rsidRPr="00A64B9D">
              <w:rPr>
                <w:rFonts w:ascii="Arial" w:hAnsi="Arial" w:cs="Arial"/>
                <w:sz w:val="24"/>
                <w:szCs w:val="24"/>
              </w:rPr>
              <w:t>Supervision Charges</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0.14</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5.12</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0.40</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0.34</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1.49</w:t>
            </w:r>
          </w:p>
        </w:tc>
      </w:tr>
      <w:tr w:rsidR="00B70F88" w:rsidRPr="00A64B9D" w:rsidTr="006226F4">
        <w:trPr>
          <w:trHeight w:val="319"/>
        </w:trPr>
        <w:tc>
          <w:tcPr>
            <w:tcW w:w="4518" w:type="dxa"/>
            <w:tcBorders>
              <w:top w:val="nil"/>
              <w:left w:val="single" w:sz="4" w:space="0" w:color="auto"/>
              <w:bottom w:val="single" w:sz="4" w:space="0" w:color="auto"/>
              <w:right w:val="single" w:sz="4" w:space="0" w:color="auto"/>
            </w:tcBorders>
            <w:shd w:val="clear" w:color="auto" w:fill="auto"/>
            <w:noWrap/>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Other Income-Sale of Tender Schedules</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0.10</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0.22</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0.47</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0.32</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0.46</w:t>
            </w:r>
          </w:p>
        </w:tc>
      </w:tr>
      <w:tr w:rsidR="00B70F88" w:rsidRPr="00A64B9D" w:rsidTr="006226F4">
        <w:trPr>
          <w:trHeight w:val="319"/>
        </w:trPr>
        <w:tc>
          <w:tcPr>
            <w:tcW w:w="4518" w:type="dxa"/>
            <w:tcBorders>
              <w:top w:val="nil"/>
              <w:left w:val="single" w:sz="4" w:space="0" w:color="auto"/>
              <w:bottom w:val="single" w:sz="4" w:space="0" w:color="auto"/>
              <w:right w:val="single" w:sz="4" w:space="0" w:color="auto"/>
            </w:tcBorders>
            <w:shd w:val="clear" w:color="auto" w:fill="auto"/>
            <w:noWrap/>
            <w:vAlign w:val="bottom"/>
            <w:hideMark/>
          </w:tcPr>
          <w:p w:rsidR="00B70F88" w:rsidRPr="00A64B9D" w:rsidRDefault="00B70F88" w:rsidP="006226F4">
            <w:pPr>
              <w:rPr>
                <w:rFonts w:ascii="Arial" w:hAnsi="Arial" w:cs="Arial"/>
                <w:color w:val="000000"/>
                <w:sz w:val="24"/>
                <w:szCs w:val="24"/>
              </w:rPr>
            </w:pPr>
            <w:r w:rsidRPr="00A64B9D">
              <w:rPr>
                <w:rFonts w:ascii="Arial" w:hAnsi="Arial" w:cs="Arial"/>
                <w:color w:val="000000"/>
                <w:sz w:val="24"/>
                <w:szCs w:val="24"/>
              </w:rPr>
              <w:t>Other Mis.Income</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0.91</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0.36</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1.21</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4.04</w:t>
            </w:r>
          </w:p>
        </w:tc>
        <w:tc>
          <w:tcPr>
            <w:tcW w:w="973" w:type="dxa"/>
            <w:tcBorders>
              <w:top w:val="nil"/>
              <w:left w:val="nil"/>
              <w:bottom w:val="single" w:sz="4" w:space="0" w:color="auto"/>
              <w:right w:val="single" w:sz="4" w:space="0" w:color="auto"/>
            </w:tcBorders>
            <w:shd w:val="clear" w:color="auto" w:fill="auto"/>
            <w:noWrap/>
            <w:vAlign w:val="bottom"/>
            <w:hideMark/>
          </w:tcPr>
          <w:p w:rsidR="00B70F88" w:rsidRPr="00A64B9D" w:rsidRDefault="00B70F88" w:rsidP="006226F4">
            <w:pPr>
              <w:jc w:val="right"/>
              <w:rPr>
                <w:rFonts w:ascii="Arial" w:hAnsi="Arial" w:cs="Arial"/>
                <w:color w:val="000000"/>
                <w:sz w:val="24"/>
                <w:szCs w:val="24"/>
              </w:rPr>
            </w:pPr>
            <w:r w:rsidRPr="00A64B9D">
              <w:rPr>
                <w:rFonts w:ascii="Arial" w:hAnsi="Arial" w:cs="Arial"/>
                <w:color w:val="000000"/>
                <w:sz w:val="24"/>
                <w:szCs w:val="24"/>
              </w:rPr>
              <w:t>23.74</w:t>
            </w:r>
          </w:p>
        </w:tc>
      </w:tr>
      <w:tr w:rsidR="00B70F88" w:rsidRPr="00A64B9D" w:rsidTr="006226F4">
        <w:trPr>
          <w:trHeight w:val="319"/>
        </w:trPr>
        <w:tc>
          <w:tcPr>
            <w:tcW w:w="4518" w:type="dxa"/>
            <w:tcBorders>
              <w:top w:val="nil"/>
              <w:left w:val="single" w:sz="4" w:space="0" w:color="auto"/>
              <w:bottom w:val="single" w:sz="4" w:space="0" w:color="auto"/>
              <w:right w:val="single" w:sz="4" w:space="0" w:color="auto"/>
            </w:tcBorders>
            <w:shd w:val="clear" w:color="000000" w:fill="FCD5B4"/>
            <w:noWrap/>
            <w:vAlign w:val="bottom"/>
            <w:hideMark/>
          </w:tcPr>
          <w:p w:rsidR="00B70F88" w:rsidRPr="00A64B9D" w:rsidRDefault="00B70F88" w:rsidP="006226F4">
            <w:pPr>
              <w:rPr>
                <w:rFonts w:ascii="Arial" w:hAnsi="Arial" w:cs="Arial"/>
                <w:b/>
                <w:bCs/>
                <w:color w:val="000000"/>
                <w:sz w:val="24"/>
                <w:szCs w:val="24"/>
              </w:rPr>
            </w:pPr>
            <w:r w:rsidRPr="00A64B9D">
              <w:rPr>
                <w:rFonts w:ascii="Arial" w:hAnsi="Arial" w:cs="Arial"/>
                <w:b/>
                <w:bCs/>
                <w:color w:val="000000"/>
                <w:sz w:val="24"/>
                <w:szCs w:val="24"/>
              </w:rPr>
              <w:t>Total Non-Tariff Income</w:t>
            </w:r>
          </w:p>
        </w:tc>
        <w:tc>
          <w:tcPr>
            <w:tcW w:w="973" w:type="dxa"/>
            <w:tcBorders>
              <w:top w:val="nil"/>
              <w:left w:val="nil"/>
              <w:bottom w:val="single" w:sz="4" w:space="0" w:color="auto"/>
              <w:right w:val="single" w:sz="4" w:space="0" w:color="auto"/>
            </w:tcBorders>
            <w:shd w:val="clear" w:color="000000" w:fill="FCD5B4"/>
            <w:noWrap/>
            <w:vAlign w:val="bottom"/>
            <w:hideMark/>
          </w:tcPr>
          <w:p w:rsidR="00B70F88" w:rsidRPr="00A64B9D" w:rsidRDefault="00B70F88" w:rsidP="006226F4">
            <w:pPr>
              <w:jc w:val="right"/>
              <w:rPr>
                <w:rFonts w:ascii="Arial" w:hAnsi="Arial" w:cs="Arial"/>
                <w:b/>
                <w:bCs/>
                <w:color w:val="000000"/>
                <w:sz w:val="24"/>
                <w:szCs w:val="24"/>
              </w:rPr>
            </w:pPr>
            <w:r w:rsidRPr="00A64B9D">
              <w:rPr>
                <w:rFonts w:ascii="Arial" w:hAnsi="Arial" w:cs="Arial"/>
                <w:b/>
                <w:bCs/>
                <w:color w:val="000000"/>
                <w:sz w:val="24"/>
                <w:szCs w:val="24"/>
              </w:rPr>
              <w:t>16.75</w:t>
            </w:r>
          </w:p>
        </w:tc>
        <w:tc>
          <w:tcPr>
            <w:tcW w:w="973" w:type="dxa"/>
            <w:tcBorders>
              <w:top w:val="nil"/>
              <w:left w:val="nil"/>
              <w:bottom w:val="single" w:sz="4" w:space="0" w:color="auto"/>
              <w:right w:val="single" w:sz="4" w:space="0" w:color="auto"/>
            </w:tcBorders>
            <w:shd w:val="clear" w:color="000000" w:fill="FCD5B4"/>
            <w:noWrap/>
            <w:vAlign w:val="bottom"/>
            <w:hideMark/>
          </w:tcPr>
          <w:p w:rsidR="00B70F88" w:rsidRPr="00A64B9D" w:rsidRDefault="00B70F88" w:rsidP="006226F4">
            <w:pPr>
              <w:jc w:val="right"/>
              <w:rPr>
                <w:rFonts w:ascii="Arial" w:hAnsi="Arial" w:cs="Arial"/>
                <w:b/>
                <w:bCs/>
                <w:color w:val="000000"/>
                <w:sz w:val="24"/>
                <w:szCs w:val="24"/>
              </w:rPr>
            </w:pPr>
            <w:r w:rsidRPr="00A64B9D">
              <w:rPr>
                <w:rFonts w:ascii="Arial" w:hAnsi="Arial" w:cs="Arial"/>
                <w:b/>
                <w:bCs/>
                <w:color w:val="000000"/>
                <w:sz w:val="24"/>
                <w:szCs w:val="24"/>
              </w:rPr>
              <w:t>24.94</w:t>
            </w:r>
          </w:p>
        </w:tc>
        <w:tc>
          <w:tcPr>
            <w:tcW w:w="973" w:type="dxa"/>
            <w:tcBorders>
              <w:top w:val="nil"/>
              <w:left w:val="nil"/>
              <w:bottom w:val="single" w:sz="4" w:space="0" w:color="auto"/>
              <w:right w:val="single" w:sz="4" w:space="0" w:color="auto"/>
            </w:tcBorders>
            <w:shd w:val="clear" w:color="000000" w:fill="FCD5B4"/>
            <w:noWrap/>
            <w:vAlign w:val="bottom"/>
            <w:hideMark/>
          </w:tcPr>
          <w:p w:rsidR="00B70F88" w:rsidRPr="00A64B9D" w:rsidRDefault="00B70F88" w:rsidP="006226F4">
            <w:pPr>
              <w:jc w:val="right"/>
              <w:rPr>
                <w:rFonts w:ascii="Arial" w:hAnsi="Arial" w:cs="Arial"/>
                <w:b/>
                <w:bCs/>
                <w:color w:val="000000"/>
                <w:sz w:val="24"/>
                <w:szCs w:val="24"/>
              </w:rPr>
            </w:pPr>
            <w:r w:rsidRPr="00A64B9D">
              <w:rPr>
                <w:rFonts w:ascii="Arial" w:hAnsi="Arial" w:cs="Arial"/>
                <w:b/>
                <w:bCs/>
                <w:color w:val="000000"/>
                <w:sz w:val="24"/>
                <w:szCs w:val="24"/>
              </w:rPr>
              <w:t>19.93</w:t>
            </w:r>
          </w:p>
        </w:tc>
        <w:tc>
          <w:tcPr>
            <w:tcW w:w="973" w:type="dxa"/>
            <w:tcBorders>
              <w:top w:val="nil"/>
              <w:left w:val="nil"/>
              <w:bottom w:val="single" w:sz="4" w:space="0" w:color="auto"/>
              <w:right w:val="single" w:sz="4" w:space="0" w:color="auto"/>
            </w:tcBorders>
            <w:shd w:val="clear" w:color="000000" w:fill="FCD5B4"/>
            <w:noWrap/>
            <w:vAlign w:val="bottom"/>
            <w:hideMark/>
          </w:tcPr>
          <w:p w:rsidR="00B70F88" w:rsidRPr="00A64B9D" w:rsidRDefault="00B70F88" w:rsidP="006226F4">
            <w:pPr>
              <w:jc w:val="right"/>
              <w:rPr>
                <w:rFonts w:ascii="Arial" w:hAnsi="Arial" w:cs="Arial"/>
                <w:b/>
                <w:bCs/>
                <w:color w:val="000000"/>
                <w:sz w:val="24"/>
                <w:szCs w:val="24"/>
              </w:rPr>
            </w:pPr>
            <w:r w:rsidRPr="00A64B9D">
              <w:rPr>
                <w:rFonts w:ascii="Arial" w:hAnsi="Arial" w:cs="Arial"/>
                <w:b/>
                <w:bCs/>
                <w:color w:val="000000"/>
                <w:sz w:val="24"/>
                <w:szCs w:val="24"/>
              </w:rPr>
              <w:t>31.59</w:t>
            </w:r>
          </w:p>
        </w:tc>
        <w:tc>
          <w:tcPr>
            <w:tcW w:w="973" w:type="dxa"/>
            <w:tcBorders>
              <w:top w:val="nil"/>
              <w:left w:val="nil"/>
              <w:bottom w:val="single" w:sz="4" w:space="0" w:color="auto"/>
              <w:right w:val="single" w:sz="4" w:space="0" w:color="auto"/>
            </w:tcBorders>
            <w:shd w:val="clear" w:color="000000" w:fill="FCD5B4"/>
            <w:noWrap/>
            <w:vAlign w:val="bottom"/>
            <w:hideMark/>
          </w:tcPr>
          <w:p w:rsidR="00B70F88" w:rsidRPr="00A64B9D" w:rsidRDefault="00B70F88" w:rsidP="006226F4">
            <w:pPr>
              <w:jc w:val="right"/>
              <w:rPr>
                <w:rFonts w:ascii="Arial" w:hAnsi="Arial" w:cs="Arial"/>
                <w:b/>
                <w:bCs/>
                <w:color w:val="000000"/>
                <w:sz w:val="24"/>
                <w:szCs w:val="24"/>
              </w:rPr>
            </w:pPr>
            <w:r w:rsidRPr="00A64B9D">
              <w:rPr>
                <w:rFonts w:ascii="Arial" w:hAnsi="Arial" w:cs="Arial"/>
                <w:b/>
                <w:bCs/>
                <w:color w:val="000000"/>
                <w:sz w:val="24"/>
                <w:szCs w:val="24"/>
              </w:rPr>
              <w:t>62.79</w:t>
            </w:r>
          </w:p>
        </w:tc>
      </w:tr>
    </w:tbl>
    <w:p w:rsidR="00B70F88" w:rsidRPr="00A64B9D" w:rsidRDefault="00B70F88" w:rsidP="00B70F88">
      <w:pPr>
        <w:pStyle w:val="ListParagraph"/>
        <w:spacing w:line="360" w:lineRule="auto"/>
        <w:ind w:left="0" w:firstLine="576"/>
        <w:jc w:val="both"/>
        <w:rPr>
          <w:rFonts w:ascii="Arial" w:hAnsi="Arial" w:cs="Arial"/>
          <w:sz w:val="24"/>
          <w:szCs w:val="24"/>
        </w:rPr>
      </w:pPr>
    </w:p>
    <w:p w:rsidR="00B70F88" w:rsidRPr="00A64B9D" w:rsidRDefault="00B70F88" w:rsidP="00B70F88">
      <w:pPr>
        <w:pStyle w:val="Heading2"/>
        <w:rPr>
          <w:rFonts w:cs="Arial"/>
          <w:sz w:val="24"/>
          <w:szCs w:val="24"/>
        </w:rPr>
      </w:pPr>
      <w:bookmarkStart w:id="14" w:name="_Toc532655523"/>
      <w:bookmarkStart w:id="15" w:name="_Toc532655695"/>
      <w:bookmarkStart w:id="16" w:name="_Toc532655852"/>
      <w:bookmarkStart w:id="17" w:name="_Toc532655894"/>
      <w:bookmarkStart w:id="18" w:name="_Toc25944228"/>
      <w:r w:rsidRPr="00A64B9D">
        <w:rPr>
          <w:rFonts w:cs="Arial"/>
          <w:sz w:val="24"/>
          <w:szCs w:val="24"/>
        </w:rPr>
        <w:t>Impact of FRP &amp; UDAY</w:t>
      </w:r>
      <w:bookmarkEnd w:id="14"/>
      <w:bookmarkEnd w:id="15"/>
      <w:bookmarkEnd w:id="16"/>
      <w:bookmarkEnd w:id="17"/>
      <w:bookmarkEnd w:id="18"/>
    </w:p>
    <w:p w:rsidR="00B70F88" w:rsidRPr="00A64B9D" w:rsidRDefault="00B70F88" w:rsidP="00B70F88">
      <w:pPr>
        <w:ind w:left="576"/>
        <w:rPr>
          <w:rFonts w:ascii="Arial" w:hAnsi="Arial" w:cs="Arial"/>
          <w:sz w:val="24"/>
          <w:szCs w:val="24"/>
        </w:rPr>
      </w:pPr>
    </w:p>
    <w:p w:rsidR="00B70F88" w:rsidRPr="00A64B9D" w:rsidRDefault="00B70F88" w:rsidP="00B70F88">
      <w:pPr>
        <w:spacing w:line="360" w:lineRule="auto"/>
        <w:ind w:left="576"/>
        <w:jc w:val="both"/>
        <w:rPr>
          <w:rFonts w:ascii="Arial" w:hAnsi="Arial" w:cs="Arial"/>
          <w:b/>
          <w:sz w:val="24"/>
          <w:szCs w:val="24"/>
        </w:rPr>
      </w:pPr>
      <w:r w:rsidRPr="00A64B9D">
        <w:rPr>
          <w:rFonts w:ascii="Arial" w:hAnsi="Arial" w:cs="Arial"/>
          <w:sz w:val="24"/>
          <w:szCs w:val="24"/>
        </w:rPr>
        <w:t>The Company was covered under the Financial Restructuring Package 2012 of Government of India in 2012. In accordance to the package, the then state government has assumed the liability of the DISCOM (erstwhile APNPDCL) to the extent of Rs. 1744 crores which covers the short term borrowings of the company towards expensive power. Thus the FRP covers the liability of the DISCOM towards borrowings for expensive power which was not admitted by the Honble Commission in the Fuel Surcharge Adju</w:t>
      </w:r>
      <w:r>
        <w:rPr>
          <w:rFonts w:ascii="Arial" w:hAnsi="Arial" w:cs="Arial"/>
          <w:sz w:val="24"/>
          <w:szCs w:val="24"/>
        </w:rPr>
        <w:t>stments/Power purchase True-ups</w:t>
      </w:r>
      <w:r w:rsidRPr="00A64B9D">
        <w:rPr>
          <w:rFonts w:ascii="Arial" w:hAnsi="Arial" w:cs="Arial"/>
          <w:b/>
          <w:sz w:val="24"/>
          <w:szCs w:val="24"/>
        </w:rPr>
        <w:t>. Hence the impact of FRP cannot be considered under the True-ups of the DISCOM.</w:t>
      </w:r>
    </w:p>
    <w:p w:rsidR="00B70F88" w:rsidRDefault="00B70F88" w:rsidP="00B70F88">
      <w:pPr>
        <w:spacing w:line="360" w:lineRule="auto"/>
        <w:ind w:left="576"/>
        <w:jc w:val="both"/>
        <w:rPr>
          <w:rFonts w:ascii="Arial" w:hAnsi="Arial" w:cs="Arial"/>
          <w:sz w:val="24"/>
          <w:szCs w:val="24"/>
        </w:rPr>
      </w:pPr>
    </w:p>
    <w:p w:rsidR="00B70F88" w:rsidRDefault="00B70F88" w:rsidP="00B70F88">
      <w:pPr>
        <w:spacing w:line="360" w:lineRule="auto"/>
        <w:ind w:left="576"/>
        <w:jc w:val="both"/>
        <w:rPr>
          <w:rFonts w:ascii="Arial" w:hAnsi="Arial" w:cs="Arial"/>
          <w:sz w:val="24"/>
          <w:szCs w:val="24"/>
        </w:rPr>
      </w:pPr>
      <w:r w:rsidRPr="00A64B9D">
        <w:rPr>
          <w:rFonts w:ascii="Arial" w:hAnsi="Arial" w:cs="Arial"/>
          <w:sz w:val="24"/>
          <w:szCs w:val="24"/>
        </w:rPr>
        <w:t xml:space="preserve">Subsequently in 2017, Telangana Discoms entered in to UDAY scheme and as per the agreement, total outstanding debt balance of TSNPDCL of Rs.3373 crores (75% of total outstanding)  as on 30.09.2015 has been taken over by Government of Telangana. The GoTS has released Rs. 2396 crores in 2016-17 and Rs.450 crores in 2017-18 in the form of Equity. </w:t>
      </w:r>
      <w:r w:rsidRPr="009D5AC1">
        <w:rPr>
          <w:rFonts w:ascii="Arial" w:hAnsi="Arial" w:cs="Arial"/>
          <w:sz w:val="24"/>
          <w:szCs w:val="24"/>
        </w:rPr>
        <w:t>The outstanding loans of the Discoms which includes long –term and short-term borrowings has been taken over by the GoTS in the form of Equity infusion in the DISCOMs</w:t>
      </w:r>
      <w:r>
        <w:rPr>
          <w:rFonts w:ascii="Arial" w:hAnsi="Arial" w:cs="Arial"/>
          <w:sz w:val="24"/>
          <w:szCs w:val="24"/>
        </w:rPr>
        <w:t xml:space="preserve">. </w:t>
      </w:r>
      <w:r w:rsidRPr="009D5AC1">
        <w:rPr>
          <w:rFonts w:ascii="Arial" w:hAnsi="Arial" w:cs="Arial"/>
          <w:sz w:val="24"/>
          <w:szCs w:val="24"/>
        </w:rPr>
        <w:t xml:space="preserve">Hence the assets funded through </w:t>
      </w:r>
      <w:r>
        <w:rPr>
          <w:rFonts w:ascii="Arial" w:hAnsi="Arial" w:cs="Arial"/>
          <w:sz w:val="24"/>
          <w:szCs w:val="24"/>
        </w:rPr>
        <w:t xml:space="preserve">debt have been taken over by the promoter in the form of equity infusion. </w:t>
      </w:r>
      <w:r w:rsidRPr="009D5AC1">
        <w:rPr>
          <w:rFonts w:ascii="Arial" w:hAnsi="Arial" w:cs="Arial"/>
          <w:sz w:val="24"/>
          <w:szCs w:val="24"/>
        </w:rPr>
        <w:lastRenderedPageBreak/>
        <w:t xml:space="preserve">This equity in the DISCOM shall attract Return on Investment </w:t>
      </w:r>
      <w:r>
        <w:rPr>
          <w:rFonts w:ascii="Arial" w:hAnsi="Arial" w:cs="Arial"/>
          <w:sz w:val="24"/>
          <w:szCs w:val="24"/>
        </w:rPr>
        <w:t xml:space="preserve">to </w:t>
      </w:r>
      <w:r w:rsidRPr="009D5AC1">
        <w:rPr>
          <w:rFonts w:ascii="Arial" w:hAnsi="Arial" w:cs="Arial"/>
          <w:sz w:val="24"/>
          <w:szCs w:val="24"/>
        </w:rPr>
        <w:t>the Shareholder (State Government)</w:t>
      </w:r>
      <w:r>
        <w:rPr>
          <w:rFonts w:ascii="Arial" w:hAnsi="Arial" w:cs="Arial"/>
          <w:sz w:val="24"/>
          <w:szCs w:val="24"/>
        </w:rPr>
        <w:t xml:space="preserve"> i.e. @ 16% p.a.</w:t>
      </w:r>
    </w:p>
    <w:p w:rsidR="00B70F88" w:rsidRDefault="00B70F88" w:rsidP="00B70F88">
      <w:pPr>
        <w:spacing w:line="360" w:lineRule="auto"/>
        <w:ind w:left="576"/>
        <w:jc w:val="both"/>
        <w:rPr>
          <w:rFonts w:ascii="Arial" w:hAnsi="Arial" w:cs="Arial"/>
          <w:sz w:val="24"/>
          <w:szCs w:val="24"/>
        </w:rPr>
      </w:pPr>
      <w:r>
        <w:rPr>
          <w:rFonts w:ascii="Arial" w:hAnsi="Arial" w:cs="Arial"/>
          <w:sz w:val="24"/>
          <w:szCs w:val="24"/>
        </w:rPr>
        <w:t>The Honble Commission in the MYT Tariff Order for 3</w:t>
      </w:r>
      <w:r w:rsidRPr="001C2BD9">
        <w:rPr>
          <w:rFonts w:ascii="Arial" w:hAnsi="Arial" w:cs="Arial"/>
          <w:sz w:val="24"/>
          <w:szCs w:val="24"/>
          <w:vertAlign w:val="superscript"/>
        </w:rPr>
        <w:t>rd</w:t>
      </w:r>
      <w:r>
        <w:rPr>
          <w:rFonts w:ascii="Arial" w:hAnsi="Arial" w:cs="Arial"/>
          <w:sz w:val="24"/>
          <w:szCs w:val="24"/>
        </w:rPr>
        <w:t xml:space="preserve"> Control Period has approved debt-equity norm of 75:25 where 25% of equity attract 14% of Return on Capital employed (&amp; 2% of Supply margin) and 75% of debt shall assume cost of finance of 12%. The debt taken-over by the GoTS under UDAY has resulted in change in the actual debt-equity mix. </w:t>
      </w:r>
    </w:p>
    <w:p w:rsidR="00B70F88" w:rsidRDefault="00B70F88" w:rsidP="00B70F88">
      <w:pPr>
        <w:spacing w:line="360" w:lineRule="auto"/>
        <w:ind w:left="576"/>
        <w:jc w:val="both"/>
        <w:rPr>
          <w:rFonts w:ascii="Arial" w:hAnsi="Arial" w:cs="Arial"/>
          <w:sz w:val="24"/>
          <w:szCs w:val="24"/>
        </w:rPr>
      </w:pPr>
      <w:r>
        <w:rPr>
          <w:rFonts w:ascii="Arial" w:hAnsi="Arial" w:cs="Arial"/>
          <w:sz w:val="24"/>
          <w:szCs w:val="24"/>
        </w:rPr>
        <w:t>As per Clause 5.11 (b) of National Tariff Policy, 2016, ”</w:t>
      </w:r>
      <w:r w:rsidRPr="00C70D92">
        <w:rPr>
          <w:rFonts w:ascii="Times-Roman" w:eastAsia="Calibri" w:hAnsi="Times-Roman" w:cs="Times-Roman"/>
          <w:sz w:val="19"/>
          <w:szCs w:val="19"/>
        </w:rPr>
        <w:t xml:space="preserve"> </w:t>
      </w:r>
      <w:r w:rsidRPr="006F4F21">
        <w:rPr>
          <w:rFonts w:ascii="Arial" w:hAnsi="Arial" w:cs="Arial"/>
          <w:i/>
          <w:sz w:val="24"/>
          <w:szCs w:val="24"/>
        </w:rPr>
        <w:t xml:space="preserve">For financing of future capital cost of projects, a Debt: Equity ratio of 70:30 should be adopted. Promoters would be free to have higher quantum of equity investments. </w:t>
      </w:r>
      <w:r w:rsidRPr="006F4F21">
        <w:rPr>
          <w:rFonts w:ascii="Arial" w:hAnsi="Arial" w:cs="Arial"/>
          <w:b/>
          <w:i/>
          <w:sz w:val="24"/>
          <w:szCs w:val="24"/>
        </w:rPr>
        <w:t>The equity in excess of this norm should be treated as loans advanced at the weighted average rate of interest</w:t>
      </w:r>
      <w:r>
        <w:rPr>
          <w:rFonts w:ascii="Arial" w:hAnsi="Arial" w:cs="Arial"/>
          <w:b/>
          <w:i/>
          <w:sz w:val="24"/>
          <w:szCs w:val="24"/>
        </w:rPr>
        <w:t>……</w:t>
      </w:r>
      <w:r>
        <w:rPr>
          <w:rFonts w:ascii="Arial" w:hAnsi="Arial" w:cs="Arial"/>
          <w:sz w:val="24"/>
          <w:szCs w:val="24"/>
        </w:rPr>
        <w:t>”</w:t>
      </w:r>
    </w:p>
    <w:p w:rsidR="00B70F88" w:rsidRDefault="00B70F88" w:rsidP="00B70F88">
      <w:pPr>
        <w:spacing w:line="360" w:lineRule="auto"/>
        <w:ind w:left="576"/>
        <w:jc w:val="both"/>
        <w:rPr>
          <w:rFonts w:ascii="Arial" w:hAnsi="Arial" w:cs="Arial"/>
          <w:sz w:val="24"/>
          <w:szCs w:val="24"/>
        </w:rPr>
      </w:pPr>
      <w:r w:rsidRPr="009D5AC1">
        <w:rPr>
          <w:rFonts w:ascii="Arial" w:hAnsi="Arial" w:cs="Arial"/>
          <w:sz w:val="24"/>
          <w:szCs w:val="24"/>
        </w:rPr>
        <w:t xml:space="preserve">Thus the </w:t>
      </w:r>
      <w:r>
        <w:rPr>
          <w:rFonts w:ascii="Arial" w:hAnsi="Arial" w:cs="Arial"/>
          <w:sz w:val="24"/>
          <w:szCs w:val="24"/>
        </w:rPr>
        <w:t xml:space="preserve">equity in excess of 25% shall be treated as normative loan and weighted average rate of interest has to be allowed, thus debt-equity mix of 75:25 has to be considered as per the norms approved.  So, no benefit has been accrued to the DISCOM due to UDAY as the equity infusion by the GoTS attracts return on equity of 14% which is higher than the cost of debt that would have incurred in the absence of UDAY scheme. Further, loans taken over by the Government under UDAY scheme is predominantly short term loans (FRP) pertains to power purchase and its cost finance shall not pass through in Retail supply Business and Distribution Business.  </w:t>
      </w:r>
    </w:p>
    <w:p w:rsidR="00B70F88" w:rsidRPr="00A64B9D" w:rsidRDefault="00B70F88" w:rsidP="00B70F88">
      <w:pPr>
        <w:spacing w:line="360" w:lineRule="auto"/>
        <w:ind w:left="576"/>
        <w:jc w:val="both"/>
        <w:rPr>
          <w:rFonts w:ascii="Arial" w:hAnsi="Arial" w:cs="Arial"/>
          <w:sz w:val="24"/>
          <w:szCs w:val="24"/>
        </w:rPr>
      </w:pPr>
      <w:r>
        <w:rPr>
          <w:rFonts w:ascii="Arial" w:hAnsi="Arial" w:cs="Arial"/>
          <w:sz w:val="24"/>
          <w:szCs w:val="24"/>
        </w:rPr>
        <w:t>Hence, notwithstanding to the UDAY agreement, the DISCOM prays the Honble Commission to allow the True-ups for the 3</w:t>
      </w:r>
      <w:r w:rsidRPr="000D7547">
        <w:rPr>
          <w:rFonts w:ascii="Arial" w:hAnsi="Arial" w:cs="Arial"/>
          <w:sz w:val="24"/>
          <w:szCs w:val="24"/>
          <w:vertAlign w:val="superscript"/>
        </w:rPr>
        <w:t>rd</w:t>
      </w:r>
      <w:r>
        <w:rPr>
          <w:rFonts w:ascii="Arial" w:hAnsi="Arial" w:cs="Arial"/>
          <w:sz w:val="24"/>
          <w:szCs w:val="24"/>
        </w:rPr>
        <w:t xml:space="preserve"> control period entirely as per the Regulation.</w:t>
      </w:r>
    </w:p>
    <w:p w:rsidR="00967119" w:rsidRDefault="00967119"/>
    <w:sectPr w:rsidR="00967119" w:rsidSect="00DD2B0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54C5" w:rsidRDefault="00BB54C5" w:rsidP="00DD2B0A">
      <w:pPr>
        <w:spacing w:after="0" w:line="240" w:lineRule="auto"/>
      </w:pPr>
      <w:r>
        <w:separator/>
      </w:r>
    </w:p>
  </w:endnote>
  <w:endnote w:type="continuationSeparator" w:id="1">
    <w:p w:rsidR="00BB54C5" w:rsidRDefault="00BB54C5" w:rsidP="00DD2B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6F4" w:rsidRDefault="00151F8D">
    <w:pPr>
      <w:pStyle w:val="Footer"/>
      <w:jc w:val="center"/>
    </w:pPr>
    <w:fldSimple w:instr=" PAGE   \* MERGEFORMAT ">
      <w:r w:rsidR="009E3E44">
        <w:rPr>
          <w:noProof/>
        </w:rPr>
        <w:t>16</w:t>
      </w:r>
    </w:fldSimple>
  </w:p>
  <w:p w:rsidR="006226F4" w:rsidRDefault="006226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54C5" w:rsidRDefault="00BB54C5" w:rsidP="00DD2B0A">
      <w:pPr>
        <w:spacing w:after="0" w:line="240" w:lineRule="auto"/>
      </w:pPr>
      <w:r>
        <w:separator/>
      </w:r>
    </w:p>
  </w:footnote>
  <w:footnote w:type="continuationSeparator" w:id="1">
    <w:p w:rsidR="00BB54C5" w:rsidRDefault="00BB54C5" w:rsidP="00DD2B0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B0FDF"/>
    <w:multiLevelType w:val="multilevel"/>
    <w:tmpl w:val="24B24A6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936"/>
        </w:tabs>
        <w:ind w:left="936" w:hanging="576"/>
      </w:pPr>
      <w:rPr>
        <w:rFonts w:hint="default"/>
      </w:rPr>
    </w:lvl>
    <w:lvl w:ilvl="2">
      <w:start w:val="1"/>
      <w:numFmt w:val="decimal"/>
      <w:pStyle w:val="Heading3"/>
      <w:lvlText w:val="%1.%2.%3"/>
      <w:lvlJc w:val="left"/>
      <w:pPr>
        <w:tabs>
          <w:tab w:val="num" w:pos="720"/>
        </w:tabs>
        <w:ind w:left="720" w:hanging="720"/>
      </w:pPr>
      <w:rPr>
        <w:rFonts w:hint="default"/>
        <w:b/>
        <w:i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22AD1277"/>
    <w:multiLevelType w:val="multilevel"/>
    <w:tmpl w:val="959CEB4C"/>
    <w:lvl w:ilvl="0">
      <w:start w:val="1"/>
      <w:numFmt w:val="lowerRoman"/>
      <w:lvlText w:val="%1."/>
      <w:lvlJc w:val="right"/>
      <w:pPr>
        <w:ind w:left="1800" w:hanging="360"/>
      </w:pPr>
      <w:rPr>
        <w:rFonts w:hint="default"/>
        <w:b w:val="0"/>
      </w:rPr>
    </w:lvl>
    <w:lvl w:ilvl="1">
      <w:start w:val="1"/>
      <w:numFmt w:val="lowerLetter"/>
      <w:lvlText w:val="%2."/>
      <w:lvlJc w:val="left"/>
      <w:pPr>
        <w:ind w:left="2520" w:hanging="360"/>
      </w:pPr>
      <w:rPr>
        <w:rFonts w:hint="default"/>
        <w:b/>
      </w:rPr>
    </w:lvl>
    <w:lvl w:ilvl="2" w:tentative="1">
      <w:start w:val="1"/>
      <w:numFmt w:val="bullet"/>
      <w:lvlText w:val=""/>
      <w:lvlJc w:val="left"/>
      <w:pPr>
        <w:ind w:left="3240" w:hanging="360"/>
      </w:pPr>
      <w:rPr>
        <w:rFonts w:ascii="Wingdings" w:hAnsi="Wingdings" w:hint="default"/>
      </w:rPr>
    </w:lvl>
    <w:lvl w:ilvl="3" w:tentative="1">
      <w:start w:val="1"/>
      <w:numFmt w:val="bullet"/>
      <w:lvlText w:val=""/>
      <w:lvlJc w:val="left"/>
      <w:pPr>
        <w:ind w:left="3960" w:hanging="360"/>
      </w:pPr>
      <w:rPr>
        <w:rFonts w:ascii="Symbol" w:hAnsi="Symbol" w:hint="default"/>
      </w:rPr>
    </w:lvl>
    <w:lvl w:ilvl="4" w:tentative="1">
      <w:start w:val="1"/>
      <w:numFmt w:val="bullet"/>
      <w:lvlText w:val="o"/>
      <w:lvlJc w:val="left"/>
      <w:pPr>
        <w:ind w:left="4680" w:hanging="360"/>
      </w:pPr>
      <w:rPr>
        <w:rFonts w:ascii="Courier New" w:hAnsi="Courier New" w:cs="Courier New" w:hint="default"/>
      </w:rPr>
    </w:lvl>
    <w:lvl w:ilvl="5" w:tentative="1">
      <w:start w:val="1"/>
      <w:numFmt w:val="bullet"/>
      <w:lvlText w:val=""/>
      <w:lvlJc w:val="left"/>
      <w:pPr>
        <w:ind w:left="5400" w:hanging="360"/>
      </w:pPr>
      <w:rPr>
        <w:rFonts w:ascii="Wingdings" w:hAnsi="Wingdings" w:hint="default"/>
      </w:rPr>
    </w:lvl>
    <w:lvl w:ilvl="6" w:tentative="1">
      <w:start w:val="1"/>
      <w:numFmt w:val="bullet"/>
      <w:lvlText w:val=""/>
      <w:lvlJc w:val="left"/>
      <w:pPr>
        <w:ind w:left="6120" w:hanging="360"/>
      </w:pPr>
      <w:rPr>
        <w:rFonts w:ascii="Symbol" w:hAnsi="Symbol" w:hint="default"/>
      </w:rPr>
    </w:lvl>
    <w:lvl w:ilvl="7" w:tentative="1">
      <w:start w:val="1"/>
      <w:numFmt w:val="bullet"/>
      <w:lvlText w:val="o"/>
      <w:lvlJc w:val="left"/>
      <w:pPr>
        <w:ind w:left="6840" w:hanging="360"/>
      </w:pPr>
      <w:rPr>
        <w:rFonts w:ascii="Courier New" w:hAnsi="Courier New" w:cs="Courier New" w:hint="default"/>
      </w:rPr>
    </w:lvl>
    <w:lvl w:ilvl="8" w:tentative="1">
      <w:start w:val="1"/>
      <w:numFmt w:val="bullet"/>
      <w:lvlText w:val=""/>
      <w:lvlJc w:val="left"/>
      <w:pPr>
        <w:ind w:left="7560" w:hanging="360"/>
      </w:pPr>
      <w:rPr>
        <w:rFonts w:ascii="Wingdings" w:hAnsi="Wingdings" w:hint="default"/>
      </w:rPr>
    </w:lvl>
  </w:abstractNum>
  <w:abstractNum w:abstractNumId="2">
    <w:nsid w:val="2D315C01"/>
    <w:multiLevelType w:val="multilevel"/>
    <w:tmpl w:val="43E63890"/>
    <w:lvl w:ilvl="0">
      <w:start w:val="1"/>
      <w:numFmt w:val="lowerRoman"/>
      <w:lvlText w:val="%1."/>
      <w:lvlJc w:val="right"/>
      <w:pPr>
        <w:ind w:left="720" w:hanging="360"/>
      </w:pPr>
      <w:rPr>
        <w:rFont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48830FBD"/>
    <w:multiLevelType w:val="hybridMultilevel"/>
    <w:tmpl w:val="416A02C6"/>
    <w:lvl w:ilvl="0" w:tplc="0409001B">
      <w:start w:val="1"/>
      <w:numFmt w:val="lowerRoman"/>
      <w:lvlText w:val="%1."/>
      <w:lvlJc w:val="right"/>
      <w:pPr>
        <w:ind w:left="1512" w:hanging="360"/>
      </w:pPr>
      <w:rPr>
        <w:rFont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4">
    <w:nsid w:val="552946AF"/>
    <w:multiLevelType w:val="hybridMultilevel"/>
    <w:tmpl w:val="7ED64C14"/>
    <w:lvl w:ilvl="0" w:tplc="EFBE1214">
      <w:start w:val="1"/>
      <w:numFmt w:val="lowerLetter"/>
      <w:lvlText w:val="%1."/>
      <w:lvlJc w:val="left"/>
      <w:pPr>
        <w:ind w:left="1152" w:hanging="360"/>
      </w:pPr>
      <w:rPr>
        <w:rFonts w:hint="default"/>
      </w:rPr>
    </w:lvl>
    <w:lvl w:ilvl="1" w:tplc="E272F610" w:tentative="1">
      <w:start w:val="1"/>
      <w:numFmt w:val="lowerLetter"/>
      <w:lvlText w:val="%2."/>
      <w:lvlJc w:val="left"/>
      <w:pPr>
        <w:ind w:left="1872" w:hanging="360"/>
      </w:pPr>
    </w:lvl>
    <w:lvl w:ilvl="2" w:tplc="64B62DD0" w:tentative="1">
      <w:start w:val="1"/>
      <w:numFmt w:val="lowerRoman"/>
      <w:lvlText w:val="%3."/>
      <w:lvlJc w:val="right"/>
      <w:pPr>
        <w:ind w:left="2592" w:hanging="180"/>
      </w:pPr>
    </w:lvl>
    <w:lvl w:ilvl="3" w:tplc="ECA870C8" w:tentative="1">
      <w:start w:val="1"/>
      <w:numFmt w:val="decimal"/>
      <w:lvlText w:val="%4."/>
      <w:lvlJc w:val="left"/>
      <w:pPr>
        <w:ind w:left="3312" w:hanging="360"/>
      </w:pPr>
    </w:lvl>
    <w:lvl w:ilvl="4" w:tplc="18D633FA" w:tentative="1">
      <w:start w:val="1"/>
      <w:numFmt w:val="lowerLetter"/>
      <w:lvlText w:val="%5."/>
      <w:lvlJc w:val="left"/>
      <w:pPr>
        <w:ind w:left="4032" w:hanging="360"/>
      </w:pPr>
    </w:lvl>
    <w:lvl w:ilvl="5" w:tplc="651671A0" w:tentative="1">
      <w:start w:val="1"/>
      <w:numFmt w:val="lowerRoman"/>
      <w:lvlText w:val="%6."/>
      <w:lvlJc w:val="right"/>
      <w:pPr>
        <w:ind w:left="4752" w:hanging="180"/>
      </w:pPr>
    </w:lvl>
    <w:lvl w:ilvl="6" w:tplc="64F0A5F4" w:tentative="1">
      <w:start w:val="1"/>
      <w:numFmt w:val="decimal"/>
      <w:lvlText w:val="%7."/>
      <w:lvlJc w:val="left"/>
      <w:pPr>
        <w:ind w:left="5472" w:hanging="360"/>
      </w:pPr>
    </w:lvl>
    <w:lvl w:ilvl="7" w:tplc="1BC49588" w:tentative="1">
      <w:start w:val="1"/>
      <w:numFmt w:val="lowerLetter"/>
      <w:lvlText w:val="%8."/>
      <w:lvlJc w:val="left"/>
      <w:pPr>
        <w:ind w:left="6192" w:hanging="360"/>
      </w:pPr>
    </w:lvl>
    <w:lvl w:ilvl="8" w:tplc="0BEEFB8A" w:tentative="1">
      <w:start w:val="1"/>
      <w:numFmt w:val="lowerRoman"/>
      <w:lvlText w:val="%9."/>
      <w:lvlJc w:val="right"/>
      <w:pPr>
        <w:ind w:left="6912"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B70F88"/>
    <w:rsid w:val="0000576F"/>
    <w:rsid w:val="00151F8D"/>
    <w:rsid w:val="00387AB5"/>
    <w:rsid w:val="006226F4"/>
    <w:rsid w:val="007870D9"/>
    <w:rsid w:val="007E262D"/>
    <w:rsid w:val="008115F6"/>
    <w:rsid w:val="00967119"/>
    <w:rsid w:val="009E3E44"/>
    <w:rsid w:val="00B0532B"/>
    <w:rsid w:val="00B70F88"/>
    <w:rsid w:val="00BB54C5"/>
    <w:rsid w:val="00DD2B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B0A"/>
  </w:style>
  <w:style w:type="paragraph" w:styleId="Heading1">
    <w:name w:val="heading 1"/>
    <w:aliases w:val="Section,Chapter Title,H1,Chapter,h1,Head 1,level 1,Level 1 Head,heading 1,level 11,Level 1 Head1,H11,heading 11,level 12,Level 1 Head2,H12,heading 12,level 13,Level 1 Head3,H13,heading 13,level 14,Level 1 Head4,H14,heading 14,level 15,H15"/>
    <w:basedOn w:val="Normal"/>
    <w:next w:val="Normal"/>
    <w:link w:val="Heading1Char"/>
    <w:autoRedefine/>
    <w:qFormat/>
    <w:rsid w:val="00B70F88"/>
    <w:pPr>
      <w:keepNext/>
      <w:numPr>
        <w:numId w:val="2"/>
      </w:numPr>
      <w:shd w:val="solid" w:color="FFFFFF" w:fill="FFFFFF"/>
      <w:tabs>
        <w:tab w:val="left" w:pos="1134"/>
      </w:tabs>
      <w:spacing w:after="0" w:line="300" w:lineRule="atLeast"/>
      <w:outlineLvl w:val="0"/>
    </w:pPr>
    <w:rPr>
      <w:rFonts w:ascii="Arial" w:eastAsia="Times New Roman" w:hAnsi="Arial" w:cs="Times New Roman"/>
      <w:b/>
      <w:caps/>
      <w:sz w:val="24"/>
      <w:szCs w:val="24"/>
      <w:lang w:val="en-GB"/>
    </w:rPr>
  </w:style>
  <w:style w:type="paragraph" w:styleId="Heading2">
    <w:name w:val="heading 2"/>
    <w:basedOn w:val="Normal"/>
    <w:next w:val="Normal"/>
    <w:link w:val="Heading2Char"/>
    <w:autoRedefine/>
    <w:qFormat/>
    <w:rsid w:val="00B70F88"/>
    <w:pPr>
      <w:keepNext/>
      <w:numPr>
        <w:ilvl w:val="1"/>
        <w:numId w:val="2"/>
      </w:numPr>
      <w:tabs>
        <w:tab w:val="left" w:pos="1134"/>
      </w:tabs>
      <w:spacing w:before="240" w:after="0" w:line="240" w:lineRule="atLeast"/>
      <w:outlineLvl w:val="1"/>
    </w:pPr>
    <w:rPr>
      <w:rFonts w:ascii="Arial" w:eastAsia="Times New Roman" w:hAnsi="Arial" w:cs="Times New Roman"/>
      <w:b/>
      <w:caps/>
      <w:szCs w:val="20"/>
      <w:lang w:val="en-GB"/>
    </w:rPr>
  </w:style>
  <w:style w:type="paragraph" w:styleId="Heading3">
    <w:name w:val="heading 3"/>
    <w:basedOn w:val="Normal"/>
    <w:next w:val="Normal"/>
    <w:link w:val="Heading3Char"/>
    <w:autoRedefine/>
    <w:qFormat/>
    <w:rsid w:val="00B70F88"/>
    <w:pPr>
      <w:keepNext/>
      <w:numPr>
        <w:ilvl w:val="2"/>
        <w:numId w:val="2"/>
      </w:numPr>
      <w:tabs>
        <w:tab w:val="left" w:pos="1134"/>
      </w:tabs>
      <w:spacing w:before="240" w:after="60" w:line="360" w:lineRule="auto"/>
      <w:outlineLvl w:val="2"/>
    </w:pPr>
    <w:rPr>
      <w:rFonts w:ascii="Arial" w:eastAsia="Times New Roman" w:hAnsi="Arial" w:cs="Times New Roman"/>
      <w:b/>
      <w:szCs w:val="20"/>
      <w:lang w:val="en-GB"/>
    </w:rPr>
  </w:style>
  <w:style w:type="paragraph" w:styleId="Heading4">
    <w:name w:val="heading 4"/>
    <w:basedOn w:val="Normal"/>
    <w:next w:val="Normal"/>
    <w:link w:val="Heading4Char"/>
    <w:autoRedefine/>
    <w:qFormat/>
    <w:rsid w:val="00B70F88"/>
    <w:pPr>
      <w:keepNext/>
      <w:numPr>
        <w:ilvl w:val="3"/>
        <w:numId w:val="2"/>
      </w:numPr>
      <w:tabs>
        <w:tab w:val="left" w:pos="1134"/>
      </w:tabs>
      <w:spacing w:after="0" w:line="360" w:lineRule="auto"/>
      <w:outlineLvl w:val="3"/>
    </w:pPr>
    <w:rPr>
      <w:rFonts w:ascii="Arial" w:eastAsia="Times New Roman" w:hAnsi="Arial" w:cs="Times New Roman"/>
      <w:b/>
      <w:szCs w:val="20"/>
      <w:lang w:val="en-GB"/>
    </w:rPr>
  </w:style>
  <w:style w:type="paragraph" w:styleId="Heading5">
    <w:name w:val="heading 5"/>
    <w:basedOn w:val="Normal"/>
    <w:next w:val="Normal"/>
    <w:link w:val="Heading5Char"/>
    <w:qFormat/>
    <w:rsid w:val="00B70F88"/>
    <w:pPr>
      <w:numPr>
        <w:ilvl w:val="4"/>
        <w:numId w:val="2"/>
      </w:numPr>
      <w:tabs>
        <w:tab w:val="left" w:pos="1134"/>
      </w:tabs>
      <w:spacing w:before="240" w:after="60" w:line="360" w:lineRule="auto"/>
      <w:outlineLvl w:val="4"/>
    </w:pPr>
    <w:rPr>
      <w:rFonts w:ascii="Times New Roman" w:eastAsia="Times New Roman" w:hAnsi="Times New Roman" w:cs="Times New Roman"/>
      <w:szCs w:val="20"/>
      <w:lang w:val="en-GB"/>
    </w:rPr>
  </w:style>
  <w:style w:type="paragraph" w:styleId="Heading6">
    <w:name w:val="heading 6"/>
    <w:basedOn w:val="Normal"/>
    <w:next w:val="Normal"/>
    <w:link w:val="Heading6Char"/>
    <w:qFormat/>
    <w:rsid w:val="00B70F88"/>
    <w:pPr>
      <w:numPr>
        <w:ilvl w:val="5"/>
        <w:numId w:val="2"/>
      </w:numPr>
      <w:spacing w:before="240" w:after="60" w:line="360" w:lineRule="auto"/>
      <w:outlineLvl w:val="5"/>
    </w:pPr>
    <w:rPr>
      <w:rFonts w:ascii="Times New Roman" w:eastAsia="Times New Roman" w:hAnsi="Times New Roman" w:cs="Times New Roman"/>
      <w:i/>
      <w:szCs w:val="20"/>
      <w:lang w:val="en-GB"/>
    </w:rPr>
  </w:style>
  <w:style w:type="paragraph" w:styleId="Heading7">
    <w:name w:val="heading 7"/>
    <w:basedOn w:val="Normal"/>
    <w:next w:val="Normal"/>
    <w:link w:val="Heading7Char"/>
    <w:qFormat/>
    <w:rsid w:val="00B70F88"/>
    <w:pPr>
      <w:numPr>
        <w:ilvl w:val="6"/>
        <w:numId w:val="2"/>
      </w:numPr>
      <w:tabs>
        <w:tab w:val="left" w:pos="1134"/>
      </w:tabs>
      <w:spacing w:before="240" w:after="60" w:line="360" w:lineRule="auto"/>
      <w:outlineLvl w:val="6"/>
    </w:pPr>
    <w:rPr>
      <w:rFonts w:ascii="Arial" w:eastAsia="Times New Roman" w:hAnsi="Arial" w:cs="Times New Roman"/>
      <w:sz w:val="20"/>
      <w:szCs w:val="20"/>
      <w:lang w:val="en-GB"/>
    </w:rPr>
  </w:style>
  <w:style w:type="paragraph" w:styleId="Heading8">
    <w:name w:val="heading 8"/>
    <w:basedOn w:val="Normal"/>
    <w:next w:val="Normal"/>
    <w:link w:val="Heading8Char"/>
    <w:qFormat/>
    <w:rsid w:val="00B70F88"/>
    <w:pPr>
      <w:numPr>
        <w:ilvl w:val="7"/>
        <w:numId w:val="2"/>
      </w:numPr>
      <w:tabs>
        <w:tab w:val="left" w:pos="1134"/>
      </w:tabs>
      <w:spacing w:before="240" w:after="60" w:line="360" w:lineRule="auto"/>
      <w:outlineLvl w:val="7"/>
    </w:pPr>
    <w:rPr>
      <w:rFonts w:ascii="Arial" w:eastAsia="Times New Roman" w:hAnsi="Arial" w:cs="Times New Roman"/>
      <w:i/>
      <w:sz w:val="20"/>
      <w:szCs w:val="20"/>
      <w:lang w:val="en-GB"/>
    </w:rPr>
  </w:style>
  <w:style w:type="paragraph" w:styleId="Heading9">
    <w:name w:val="heading 9"/>
    <w:basedOn w:val="Normal"/>
    <w:next w:val="Normal"/>
    <w:link w:val="Heading9Char"/>
    <w:qFormat/>
    <w:rsid w:val="00B70F88"/>
    <w:pPr>
      <w:numPr>
        <w:ilvl w:val="8"/>
        <w:numId w:val="2"/>
      </w:numPr>
      <w:tabs>
        <w:tab w:val="left" w:pos="1134"/>
      </w:tabs>
      <w:spacing w:before="240" w:after="60" w:line="360" w:lineRule="auto"/>
      <w:outlineLvl w:val="8"/>
    </w:pPr>
    <w:rPr>
      <w:rFonts w:ascii="Arial" w:eastAsia="Times New Roman" w:hAnsi="Arial" w:cs="Times New Roman"/>
      <w:b/>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Chapter Title Char,H1 Char,Chapter Char,h1 Char,Head 1 Char,level 1 Char,Level 1 Head Char,heading 1 Char,level 11 Char,Level 1 Head1 Char,H11 Char,heading 11 Char,level 12 Char,Level 1 Head2 Char,H12 Char,heading 12 Char"/>
    <w:basedOn w:val="DefaultParagraphFont"/>
    <w:link w:val="Heading1"/>
    <w:rsid w:val="00B70F88"/>
    <w:rPr>
      <w:rFonts w:ascii="Arial" w:eastAsia="Times New Roman" w:hAnsi="Arial" w:cs="Times New Roman"/>
      <w:b/>
      <w:caps/>
      <w:sz w:val="24"/>
      <w:szCs w:val="24"/>
      <w:shd w:val="solid" w:color="FFFFFF" w:fill="FFFFFF"/>
      <w:lang w:val="en-GB"/>
    </w:rPr>
  </w:style>
  <w:style w:type="character" w:customStyle="1" w:styleId="Heading2Char">
    <w:name w:val="Heading 2 Char"/>
    <w:basedOn w:val="DefaultParagraphFont"/>
    <w:link w:val="Heading2"/>
    <w:rsid w:val="00B70F88"/>
    <w:rPr>
      <w:rFonts w:ascii="Arial" w:eastAsia="Times New Roman" w:hAnsi="Arial" w:cs="Times New Roman"/>
      <w:b/>
      <w:caps/>
      <w:szCs w:val="20"/>
      <w:lang w:val="en-GB"/>
    </w:rPr>
  </w:style>
  <w:style w:type="character" w:customStyle="1" w:styleId="Heading3Char">
    <w:name w:val="Heading 3 Char"/>
    <w:basedOn w:val="DefaultParagraphFont"/>
    <w:link w:val="Heading3"/>
    <w:rsid w:val="00B70F88"/>
    <w:rPr>
      <w:rFonts w:ascii="Arial" w:eastAsia="Times New Roman" w:hAnsi="Arial" w:cs="Times New Roman"/>
      <w:b/>
      <w:szCs w:val="20"/>
      <w:lang w:val="en-GB"/>
    </w:rPr>
  </w:style>
  <w:style w:type="character" w:customStyle="1" w:styleId="Heading4Char">
    <w:name w:val="Heading 4 Char"/>
    <w:basedOn w:val="DefaultParagraphFont"/>
    <w:link w:val="Heading4"/>
    <w:rsid w:val="00B70F88"/>
    <w:rPr>
      <w:rFonts w:ascii="Arial" w:eastAsia="Times New Roman" w:hAnsi="Arial" w:cs="Times New Roman"/>
      <w:b/>
      <w:szCs w:val="20"/>
      <w:lang w:val="en-GB"/>
    </w:rPr>
  </w:style>
  <w:style w:type="character" w:customStyle="1" w:styleId="Heading5Char">
    <w:name w:val="Heading 5 Char"/>
    <w:basedOn w:val="DefaultParagraphFont"/>
    <w:link w:val="Heading5"/>
    <w:rsid w:val="00B70F88"/>
    <w:rPr>
      <w:rFonts w:ascii="Times New Roman" w:eastAsia="Times New Roman" w:hAnsi="Times New Roman" w:cs="Times New Roman"/>
      <w:szCs w:val="20"/>
      <w:lang w:val="en-GB"/>
    </w:rPr>
  </w:style>
  <w:style w:type="character" w:customStyle="1" w:styleId="Heading6Char">
    <w:name w:val="Heading 6 Char"/>
    <w:basedOn w:val="DefaultParagraphFont"/>
    <w:link w:val="Heading6"/>
    <w:rsid w:val="00B70F88"/>
    <w:rPr>
      <w:rFonts w:ascii="Times New Roman" w:eastAsia="Times New Roman" w:hAnsi="Times New Roman" w:cs="Times New Roman"/>
      <w:i/>
      <w:szCs w:val="20"/>
      <w:lang w:val="en-GB"/>
    </w:rPr>
  </w:style>
  <w:style w:type="character" w:customStyle="1" w:styleId="Heading7Char">
    <w:name w:val="Heading 7 Char"/>
    <w:basedOn w:val="DefaultParagraphFont"/>
    <w:link w:val="Heading7"/>
    <w:rsid w:val="00B70F88"/>
    <w:rPr>
      <w:rFonts w:ascii="Arial" w:eastAsia="Times New Roman" w:hAnsi="Arial" w:cs="Times New Roman"/>
      <w:sz w:val="20"/>
      <w:szCs w:val="20"/>
      <w:lang w:val="en-GB"/>
    </w:rPr>
  </w:style>
  <w:style w:type="character" w:customStyle="1" w:styleId="Heading8Char">
    <w:name w:val="Heading 8 Char"/>
    <w:basedOn w:val="DefaultParagraphFont"/>
    <w:link w:val="Heading8"/>
    <w:rsid w:val="00B70F88"/>
    <w:rPr>
      <w:rFonts w:ascii="Arial" w:eastAsia="Times New Roman" w:hAnsi="Arial" w:cs="Times New Roman"/>
      <w:i/>
      <w:sz w:val="20"/>
      <w:szCs w:val="20"/>
      <w:lang w:val="en-GB"/>
    </w:rPr>
  </w:style>
  <w:style w:type="character" w:customStyle="1" w:styleId="Heading9Char">
    <w:name w:val="Heading 9 Char"/>
    <w:basedOn w:val="DefaultParagraphFont"/>
    <w:link w:val="Heading9"/>
    <w:rsid w:val="00B70F88"/>
    <w:rPr>
      <w:rFonts w:ascii="Arial" w:eastAsia="Times New Roman" w:hAnsi="Arial" w:cs="Times New Roman"/>
      <w:b/>
      <w:i/>
      <w:sz w:val="18"/>
      <w:szCs w:val="20"/>
      <w:lang w:val="en-GB"/>
    </w:rPr>
  </w:style>
  <w:style w:type="paragraph" w:styleId="Footer">
    <w:name w:val="footer"/>
    <w:basedOn w:val="Normal"/>
    <w:link w:val="FooterChar"/>
    <w:uiPriority w:val="99"/>
    <w:rsid w:val="00B70F88"/>
    <w:pPr>
      <w:tabs>
        <w:tab w:val="center" w:pos="4320"/>
        <w:tab w:val="right" w:pos="8640"/>
      </w:tabs>
      <w:spacing w:after="0" w:line="240" w:lineRule="auto"/>
    </w:pPr>
    <w:rPr>
      <w:rFonts w:ascii="Times New Roman" w:eastAsia="Times New Roman" w:hAnsi="Times New Roman" w:cs="Times New Roman"/>
      <w:sz w:val="20"/>
      <w:szCs w:val="20"/>
      <w:lang w:val="en-GB"/>
    </w:rPr>
  </w:style>
  <w:style w:type="character" w:customStyle="1" w:styleId="FooterChar">
    <w:name w:val="Footer Char"/>
    <w:basedOn w:val="DefaultParagraphFont"/>
    <w:link w:val="Footer"/>
    <w:uiPriority w:val="99"/>
    <w:rsid w:val="00B70F88"/>
    <w:rPr>
      <w:rFonts w:ascii="Times New Roman" w:eastAsia="Times New Roman" w:hAnsi="Times New Roman" w:cs="Times New Roman"/>
      <w:sz w:val="20"/>
      <w:szCs w:val="20"/>
      <w:lang w:val="en-GB"/>
    </w:rPr>
  </w:style>
  <w:style w:type="paragraph" w:styleId="ListParagraph">
    <w:name w:val="List Paragraph"/>
    <w:basedOn w:val="Normal"/>
    <w:link w:val="ListParagraphChar"/>
    <w:uiPriority w:val="34"/>
    <w:qFormat/>
    <w:rsid w:val="00B70F88"/>
    <w:pPr>
      <w:spacing w:after="0" w:line="240" w:lineRule="auto"/>
      <w:ind w:left="720"/>
    </w:pPr>
    <w:rPr>
      <w:rFonts w:ascii="Times New Roman" w:eastAsia="Times New Roman" w:hAnsi="Times New Roman" w:cs="Times New Roman"/>
      <w:sz w:val="20"/>
      <w:szCs w:val="20"/>
      <w:lang w:val="en-GB"/>
    </w:rPr>
  </w:style>
  <w:style w:type="paragraph" w:styleId="NoSpacing">
    <w:name w:val="No Spacing"/>
    <w:uiPriority w:val="1"/>
    <w:qFormat/>
    <w:rsid w:val="00B70F88"/>
    <w:pPr>
      <w:spacing w:after="0" w:line="240" w:lineRule="auto"/>
    </w:pPr>
    <w:rPr>
      <w:rFonts w:ascii="Times New Roman" w:eastAsia="Times New Roman" w:hAnsi="Times New Roman" w:cs="Times New Roman"/>
      <w:sz w:val="20"/>
      <w:szCs w:val="20"/>
      <w:lang w:val="en-GB"/>
    </w:rPr>
  </w:style>
  <w:style w:type="character" w:styleId="Hyperlink">
    <w:name w:val="Hyperlink"/>
    <w:uiPriority w:val="99"/>
    <w:unhideWhenUsed/>
    <w:rsid w:val="00B70F88"/>
    <w:rPr>
      <w:color w:val="0000FF"/>
      <w:u w:val="single"/>
    </w:rPr>
  </w:style>
  <w:style w:type="character" w:customStyle="1" w:styleId="ListParagraphChar">
    <w:name w:val="List Paragraph Char"/>
    <w:link w:val="ListParagraph"/>
    <w:uiPriority w:val="34"/>
    <w:rsid w:val="00B70F88"/>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B70F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0F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0" Type="http://schemas.openxmlformats.org/officeDocument/2006/relationships/hyperlink" Target="http://www.labourbureau.nic.in" TargetMode="Externa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16</Pages>
  <Words>2936</Words>
  <Characters>16739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AE-RAC</dc:creator>
  <cp:keywords/>
  <dc:description/>
  <cp:lastModifiedBy>AE-RAC</cp:lastModifiedBy>
  <cp:revision>5</cp:revision>
  <dcterms:created xsi:type="dcterms:W3CDTF">2020-01-16T08:11:00Z</dcterms:created>
  <dcterms:modified xsi:type="dcterms:W3CDTF">2020-01-21T12:17:00Z</dcterms:modified>
</cp:coreProperties>
</file>