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25F" w:rsidRPr="0049525F" w:rsidRDefault="008C069A" w:rsidP="0049525F">
      <w:pPr>
        <w:jc w:val="center"/>
        <w:rPr>
          <w:rFonts w:asciiTheme="majorHAnsi" w:hAnsiTheme="majorHAnsi"/>
          <w:sz w:val="28"/>
          <w:szCs w:val="28"/>
          <w:u w:val="single"/>
        </w:rPr>
      </w:pPr>
      <w:r w:rsidRPr="0049525F">
        <w:rPr>
          <w:rFonts w:asciiTheme="majorHAnsi" w:hAnsiTheme="majorHAnsi"/>
          <w:b/>
          <w:sz w:val="28"/>
          <w:szCs w:val="28"/>
          <w:u w:val="single"/>
        </w:rPr>
        <w:t>Annexure -</w:t>
      </w:r>
      <w:r w:rsidR="0049525F" w:rsidRPr="0049525F">
        <w:rPr>
          <w:rFonts w:asciiTheme="majorHAnsi" w:hAnsiTheme="majorHAnsi"/>
          <w:b/>
          <w:sz w:val="28"/>
          <w:szCs w:val="28"/>
          <w:u w:val="single"/>
        </w:rPr>
        <w:t>I</w:t>
      </w:r>
      <w:r w:rsidRPr="0049525F">
        <w:rPr>
          <w:rFonts w:asciiTheme="majorHAnsi" w:hAnsiTheme="majorHAnsi"/>
          <w:sz w:val="28"/>
          <w:szCs w:val="28"/>
          <w:u w:val="single"/>
        </w:rPr>
        <w:t xml:space="preserve"> </w:t>
      </w:r>
    </w:p>
    <w:p w:rsidR="008C069A" w:rsidRPr="0049525F" w:rsidRDefault="005C0159" w:rsidP="0049525F">
      <w:pPr>
        <w:jc w:val="center"/>
        <w:rPr>
          <w:rFonts w:asciiTheme="majorHAnsi" w:hAnsiTheme="majorHAnsi"/>
          <w:b/>
          <w:sz w:val="28"/>
          <w:szCs w:val="28"/>
        </w:rPr>
      </w:pPr>
      <w:r w:rsidRPr="0049525F">
        <w:rPr>
          <w:rFonts w:asciiTheme="majorHAnsi" w:hAnsiTheme="majorHAnsi"/>
          <w:b/>
          <w:sz w:val="28"/>
          <w:szCs w:val="28"/>
        </w:rPr>
        <w:t>Distribution and Retail supply business accounts allocation statement for FY 2014-15, FY 2015-16, FY 2016-17, FY 2017-18 and FY 2018-19</w:t>
      </w:r>
    </w:p>
    <w:tbl>
      <w:tblPr>
        <w:tblW w:w="15035" w:type="dxa"/>
        <w:tblInd w:w="103" w:type="dxa"/>
        <w:tblLook w:val="04A0"/>
      </w:tblPr>
      <w:tblGrid>
        <w:gridCol w:w="2652"/>
        <w:gridCol w:w="1361"/>
        <w:gridCol w:w="1100"/>
        <w:gridCol w:w="1361"/>
        <w:gridCol w:w="1100"/>
        <w:gridCol w:w="1433"/>
        <w:gridCol w:w="1100"/>
        <w:gridCol w:w="1361"/>
        <w:gridCol w:w="1100"/>
        <w:gridCol w:w="1361"/>
        <w:gridCol w:w="1231"/>
      </w:tblGrid>
      <w:tr w:rsidR="008C069A" w:rsidRPr="0049525F" w:rsidTr="0049525F">
        <w:trPr>
          <w:trHeight w:val="201"/>
          <w:tblHeader/>
        </w:trPr>
        <w:tc>
          <w:tcPr>
            <w:tcW w:w="2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b/>
                <w:bCs/>
                <w:color w:val="000000"/>
              </w:rPr>
              <w:t>Particulars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b/>
                <w:bCs/>
                <w:color w:val="000000"/>
              </w:rPr>
              <w:t>FY 2014-15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b/>
                <w:bCs/>
                <w:color w:val="000000"/>
              </w:rPr>
              <w:t>FY 2015-16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b/>
                <w:bCs/>
                <w:color w:val="000000"/>
              </w:rPr>
              <w:t>FY 2016-17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b/>
                <w:bCs/>
                <w:color w:val="000000"/>
              </w:rPr>
              <w:t>FY 2017-18</w:t>
            </w:r>
          </w:p>
        </w:tc>
        <w:tc>
          <w:tcPr>
            <w:tcW w:w="2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b/>
                <w:bCs/>
                <w:color w:val="000000"/>
              </w:rPr>
              <w:t>FY 2018-19</w:t>
            </w:r>
          </w:p>
        </w:tc>
      </w:tr>
      <w:tr w:rsidR="005C0159" w:rsidRPr="0049525F" w:rsidTr="0049525F">
        <w:trPr>
          <w:trHeight w:val="402"/>
          <w:tblHeader/>
        </w:trPr>
        <w:tc>
          <w:tcPr>
            <w:tcW w:w="2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69A" w:rsidRPr="0049525F" w:rsidRDefault="008C069A" w:rsidP="00255C8F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bCs/>
                <w:color w:val="00000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Distribution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Retail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Distribution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Retail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Distribution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Retail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Distribution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Retail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Distribution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Retail</w:t>
            </w:r>
          </w:p>
        </w:tc>
      </w:tr>
      <w:tr w:rsidR="005C0159" w:rsidRPr="0049525F" w:rsidTr="0049525F">
        <w:trPr>
          <w:trHeight w:val="201"/>
        </w:trPr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 xml:space="preserve">Operation &amp; </w:t>
            </w:r>
            <w:r w:rsidR="005C0159" w:rsidRPr="0049525F">
              <w:rPr>
                <w:rFonts w:asciiTheme="majorHAnsi" w:eastAsia="Times New Roman" w:hAnsiTheme="majorHAnsi" w:cs="Calibri"/>
                <w:color w:val="000000"/>
              </w:rPr>
              <w:t>Maintenance</w:t>
            </w:r>
            <w:r w:rsidRPr="0049525F">
              <w:rPr>
                <w:rFonts w:asciiTheme="majorHAnsi" w:eastAsia="Times New Roman" w:hAnsiTheme="majorHAnsi" w:cs="Calibri"/>
                <w:color w:val="000000"/>
              </w:rPr>
              <w:t xml:space="preserve"> expenses (Gross)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921.98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924.93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994.50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892.97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1840.90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</w:tr>
      <w:tr w:rsidR="005C0159" w:rsidRPr="0049525F" w:rsidTr="0049525F">
        <w:trPr>
          <w:trHeight w:val="201"/>
        </w:trPr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Employee Cost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751.30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736.42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763.65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722.37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1681.84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</w:tr>
      <w:tr w:rsidR="005C0159" w:rsidRPr="0049525F" w:rsidTr="0049525F">
        <w:trPr>
          <w:trHeight w:val="201"/>
        </w:trPr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Administration &amp; General Expenses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56.99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65.32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81.26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83.40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87.07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</w:tr>
      <w:tr w:rsidR="005C0159" w:rsidRPr="0049525F" w:rsidTr="0049525F">
        <w:trPr>
          <w:trHeight w:val="201"/>
        </w:trPr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Repairs &amp; Maintenance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113.68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123.20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149.60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87.20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71.98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</w:tr>
      <w:tr w:rsidR="005C0159" w:rsidRPr="0049525F" w:rsidTr="0049525F">
        <w:trPr>
          <w:trHeight w:val="782"/>
        </w:trPr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Default="008C069A" w:rsidP="00255C8F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 xml:space="preserve">Less: O&amp;M Expenses </w:t>
            </w:r>
            <w:r w:rsidR="0049525F">
              <w:rPr>
                <w:rFonts w:asciiTheme="majorHAnsi" w:eastAsia="Times New Roman" w:hAnsiTheme="majorHAnsi" w:cs="Calibri"/>
                <w:color w:val="000000"/>
              </w:rPr>
              <w:t>capitalized</w:t>
            </w:r>
          </w:p>
          <w:p w:rsidR="0049525F" w:rsidRPr="0049525F" w:rsidRDefault="0049525F" w:rsidP="00255C8F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 xml:space="preserve">              30.72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 xml:space="preserve">              51.43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 xml:space="preserve">              81.58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 xml:space="preserve">             68.27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 xml:space="preserve">             67.06 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</w:tr>
      <w:tr w:rsidR="005C0159" w:rsidRPr="0049525F" w:rsidTr="0049525F">
        <w:trPr>
          <w:trHeight w:val="201"/>
        </w:trPr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 xml:space="preserve">Operation &amp; </w:t>
            </w:r>
            <w:r w:rsidR="005C0159" w:rsidRPr="0049525F">
              <w:rPr>
                <w:rFonts w:asciiTheme="majorHAnsi" w:eastAsia="Times New Roman" w:hAnsiTheme="majorHAnsi" w:cs="Calibri"/>
                <w:color w:val="000000"/>
              </w:rPr>
              <w:t>Maintenance</w:t>
            </w:r>
            <w:r w:rsidRPr="0049525F">
              <w:rPr>
                <w:rFonts w:asciiTheme="majorHAnsi" w:eastAsia="Times New Roman" w:hAnsiTheme="majorHAnsi" w:cs="Calibri"/>
                <w:color w:val="000000"/>
              </w:rPr>
              <w:t xml:space="preserve"> expenses (Net)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 xml:space="preserve">           891.26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 xml:space="preserve">           873.50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 xml:space="preserve">           912.92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 xml:space="preserve">           824.71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 xml:space="preserve">       1,773.84 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</w:tr>
      <w:tr w:rsidR="005C0159" w:rsidRPr="0049525F" w:rsidTr="0049525F">
        <w:trPr>
          <w:trHeight w:val="201"/>
        </w:trPr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Depreciation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 xml:space="preserve">           195.01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 xml:space="preserve">           132.69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 xml:space="preserve">           208.13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 xml:space="preserve">           235.82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 xml:space="preserve">           268.29 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</w:tr>
      <w:tr w:rsidR="005C0159" w:rsidRPr="0049525F" w:rsidTr="0049525F">
        <w:trPr>
          <w:trHeight w:val="201"/>
        </w:trPr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Default="008C069A" w:rsidP="00255C8F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proofErr w:type="spellStart"/>
            <w:r w:rsidRPr="0049525F">
              <w:rPr>
                <w:rFonts w:asciiTheme="majorHAnsi" w:eastAsia="Times New Roman" w:hAnsiTheme="majorHAnsi" w:cs="Calibri"/>
                <w:color w:val="000000"/>
              </w:rPr>
              <w:t>RoCE</w:t>
            </w:r>
            <w:proofErr w:type="spellEnd"/>
          </w:p>
          <w:p w:rsidR="0049525F" w:rsidRPr="0049525F" w:rsidRDefault="0049525F" w:rsidP="00255C8F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 xml:space="preserve">           151.16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 xml:space="preserve">           159.89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 xml:space="preserve">           247.28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 xml:space="preserve">           213.08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 xml:space="preserve">           258.51 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</w:tr>
      <w:tr w:rsidR="005C0159" w:rsidRPr="0049525F" w:rsidTr="0049525F">
        <w:trPr>
          <w:trHeight w:val="201"/>
        </w:trPr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Special Appropriations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 xml:space="preserve">                2.01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 xml:space="preserve">                2.47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 xml:space="preserve">                5.15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 xml:space="preserve">             18.58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 xml:space="preserve">             23.64 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</w:tr>
      <w:tr w:rsidR="005C0159" w:rsidRPr="0049525F" w:rsidTr="0049525F">
        <w:trPr>
          <w:trHeight w:val="201"/>
        </w:trPr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Other Expenditure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 xml:space="preserve">                6.80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 xml:space="preserve">                0.12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 xml:space="preserve">                0.04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 xml:space="preserve">                    -  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 xml:space="preserve">                    -   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</w:tr>
      <w:tr w:rsidR="005C0159" w:rsidRPr="0049525F" w:rsidTr="0049525F">
        <w:trPr>
          <w:trHeight w:val="201"/>
        </w:trPr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Power Purchase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5246.50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6513.41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6797.37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8210.31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9631.34</w:t>
            </w:r>
          </w:p>
        </w:tc>
      </w:tr>
      <w:tr w:rsidR="005C0159" w:rsidRPr="0049525F" w:rsidTr="0049525F">
        <w:trPr>
          <w:trHeight w:val="201"/>
        </w:trPr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Transmission Cost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257.81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342.49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432.94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325.47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448.51</w:t>
            </w:r>
          </w:p>
        </w:tc>
      </w:tr>
      <w:tr w:rsidR="005C0159" w:rsidRPr="0049525F" w:rsidTr="0049525F">
        <w:trPr>
          <w:trHeight w:val="201"/>
        </w:trPr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SLDC Cost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10.22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11.02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12.05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10.32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10.99</w:t>
            </w:r>
          </w:p>
        </w:tc>
      </w:tr>
      <w:tr w:rsidR="005C0159" w:rsidRPr="0049525F" w:rsidTr="0049525F">
        <w:trPr>
          <w:trHeight w:val="201"/>
        </w:trPr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PGCIL Expenses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164.74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135.00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307.13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322.13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463.70</w:t>
            </w:r>
          </w:p>
        </w:tc>
      </w:tr>
      <w:tr w:rsidR="005C0159" w:rsidRPr="0049525F" w:rsidTr="0049525F">
        <w:trPr>
          <w:trHeight w:val="201"/>
        </w:trPr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ULDC Charges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2.56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3.47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0.67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0.68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0.73</w:t>
            </w:r>
          </w:p>
        </w:tc>
      </w:tr>
      <w:tr w:rsidR="005C0159" w:rsidRPr="0049525F" w:rsidTr="0049525F">
        <w:trPr>
          <w:trHeight w:val="201"/>
        </w:trPr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 xml:space="preserve">Interest on Consumer </w:t>
            </w:r>
            <w:r w:rsidRPr="0049525F">
              <w:rPr>
                <w:rFonts w:asciiTheme="majorHAnsi" w:eastAsia="Times New Roman" w:hAnsiTheme="majorHAnsi" w:cs="Calibri"/>
                <w:color w:val="000000"/>
              </w:rPr>
              <w:lastRenderedPageBreak/>
              <w:t>Security Deposits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lastRenderedPageBreak/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42.32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41.60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40.83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47.49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52.71</w:t>
            </w:r>
          </w:p>
        </w:tc>
      </w:tr>
      <w:tr w:rsidR="005C0159" w:rsidRPr="0049525F" w:rsidTr="0049525F">
        <w:trPr>
          <w:trHeight w:val="201"/>
        </w:trPr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lastRenderedPageBreak/>
              <w:t>Supply Margin in Retail Supply Business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6.82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7.16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8.21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9.30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11.20</w:t>
            </w:r>
          </w:p>
        </w:tc>
      </w:tr>
      <w:tr w:rsidR="005C0159" w:rsidRPr="0049525F" w:rsidTr="0049525F">
        <w:trPr>
          <w:trHeight w:val="201"/>
        </w:trPr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Other Costs, if any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3.26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5.75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2.05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1.01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18.99</w:t>
            </w:r>
          </w:p>
        </w:tc>
      </w:tr>
      <w:tr w:rsidR="005C0159" w:rsidRPr="0049525F" w:rsidTr="0049525F">
        <w:trPr>
          <w:trHeight w:val="201"/>
        </w:trPr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Total ARR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b/>
                <w:bCs/>
                <w:color w:val="000000"/>
              </w:rPr>
              <w:t xml:space="preserve">        1,246.23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b/>
                <w:bCs/>
                <w:color w:val="000000"/>
              </w:rPr>
              <w:t xml:space="preserve">    5,734.23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b/>
                <w:bCs/>
                <w:color w:val="000000"/>
              </w:rPr>
              <w:t xml:space="preserve">        1,168.67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b/>
                <w:bCs/>
                <w:color w:val="000000"/>
              </w:rPr>
              <w:t xml:space="preserve">   7,059.90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b/>
                <w:bCs/>
                <w:color w:val="000000"/>
              </w:rPr>
              <w:t xml:space="preserve">        1,373.52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b/>
                <w:bCs/>
                <w:color w:val="000000"/>
              </w:rPr>
              <w:t xml:space="preserve">   7,601.25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b/>
                <w:bCs/>
                <w:color w:val="000000"/>
              </w:rPr>
              <w:t xml:space="preserve">       1,292.19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b/>
                <w:bCs/>
                <w:color w:val="000000"/>
              </w:rPr>
              <w:t xml:space="preserve">   8,926.71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b/>
                <w:bCs/>
                <w:color w:val="000000"/>
              </w:rPr>
              <w:t xml:space="preserve">       2,324.27 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b/>
                <w:bCs/>
                <w:color w:val="000000"/>
              </w:rPr>
              <w:t xml:space="preserve">  10,638.16 </w:t>
            </w:r>
          </w:p>
        </w:tc>
      </w:tr>
      <w:tr w:rsidR="005C0159" w:rsidRPr="0049525F" w:rsidTr="0049525F">
        <w:trPr>
          <w:trHeight w:val="201"/>
        </w:trPr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Revenue from Sale of Power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 xml:space="preserve">    3,178.67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 xml:space="preserve">   3,608.22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 xml:space="preserve">   4,001.16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 xml:space="preserve">   4,444.31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 xml:space="preserve">     5,467.80 </w:t>
            </w:r>
          </w:p>
        </w:tc>
      </w:tr>
      <w:tr w:rsidR="005C0159" w:rsidRPr="0049525F" w:rsidTr="0049525F">
        <w:trPr>
          <w:trHeight w:val="201"/>
        </w:trPr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Non-Tariff Income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 xml:space="preserve">              16.75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 xml:space="preserve">          40.14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 xml:space="preserve">              24.94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 xml:space="preserve">       100.68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 xml:space="preserve">              19.93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 xml:space="preserve">         63.34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 xml:space="preserve">             31.59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 xml:space="preserve">         69.34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 xml:space="preserve">             62.79 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 xml:space="preserve">           34.34 </w:t>
            </w:r>
          </w:p>
        </w:tc>
      </w:tr>
      <w:tr w:rsidR="005C0159" w:rsidRPr="0049525F" w:rsidTr="0049525F">
        <w:trPr>
          <w:trHeight w:val="201"/>
        </w:trPr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Subsidy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2398.81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3574.22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3376.71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4049.96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 xml:space="preserve">     3,764.00 </w:t>
            </w:r>
          </w:p>
        </w:tc>
      </w:tr>
      <w:tr w:rsidR="005C0159" w:rsidRPr="0049525F" w:rsidTr="0049525F">
        <w:trPr>
          <w:trHeight w:val="201"/>
        </w:trPr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color w:val="000000"/>
              </w:rPr>
              <w:t>Total Income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b/>
                <w:bCs/>
                <w:color w:val="000000"/>
              </w:rPr>
              <w:t>16.75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b/>
                <w:bCs/>
                <w:color w:val="000000"/>
              </w:rPr>
              <w:t>5617.62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b/>
                <w:bCs/>
                <w:color w:val="000000"/>
              </w:rPr>
              <w:t>24.94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b/>
                <w:bCs/>
                <w:color w:val="000000"/>
              </w:rPr>
              <w:t>7283.11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b/>
                <w:bCs/>
                <w:color w:val="000000"/>
              </w:rPr>
              <w:t>19.93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b/>
                <w:bCs/>
                <w:color w:val="000000"/>
              </w:rPr>
              <w:t>7441.21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b/>
                <w:bCs/>
                <w:color w:val="000000"/>
              </w:rPr>
              <w:t>31.59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b/>
                <w:bCs/>
                <w:color w:val="000000"/>
              </w:rPr>
              <w:t>8563.61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b/>
                <w:bCs/>
                <w:color w:val="000000"/>
              </w:rPr>
              <w:t>62.79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C069A" w:rsidRPr="0049525F" w:rsidRDefault="008C069A" w:rsidP="00255C8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</w:rPr>
            </w:pPr>
            <w:r w:rsidRPr="0049525F">
              <w:rPr>
                <w:rFonts w:asciiTheme="majorHAnsi" w:eastAsia="Times New Roman" w:hAnsiTheme="majorHAnsi" w:cs="Calibri"/>
                <w:b/>
                <w:bCs/>
                <w:color w:val="000000"/>
              </w:rPr>
              <w:t>9266.14</w:t>
            </w:r>
          </w:p>
        </w:tc>
      </w:tr>
    </w:tbl>
    <w:p w:rsidR="008C069A" w:rsidRDefault="008C069A"/>
    <w:sectPr w:rsidR="008C069A" w:rsidSect="008C069A">
      <w:pgSz w:w="16839" w:h="11907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8C069A"/>
    <w:rsid w:val="0049525F"/>
    <w:rsid w:val="00537DE9"/>
    <w:rsid w:val="005C0159"/>
    <w:rsid w:val="008530B0"/>
    <w:rsid w:val="008C0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0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5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379</Words>
  <Characters>2166</Characters>
  <Application>Microsoft Office Word</Application>
  <DocSecurity>0</DocSecurity>
  <Lines>18</Lines>
  <Paragraphs>5</Paragraphs>
  <ScaleCrop>false</ScaleCrop>
  <Company/>
  <LinksUpToDate>false</LinksUpToDate>
  <CharactersWithSpaces>2540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AE-RAC</dc:creator>
  <cp:keywords/>
  <dc:description/>
  <cp:lastModifiedBy>AE-RAC</cp:lastModifiedBy>
  <cp:revision>4</cp:revision>
  <dcterms:created xsi:type="dcterms:W3CDTF">2020-01-20T10:46:00Z</dcterms:created>
  <dcterms:modified xsi:type="dcterms:W3CDTF">2020-01-21T12:14:00Z</dcterms:modified>
</cp:coreProperties>
</file>